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5.png" ContentType="image/png"/>
  <Override PartName="/word/media/rId113.jpg" ContentType="image/jpeg"/>
  <Override PartName="/word/media/rId85.png" ContentType="image/png"/>
  <Override PartName="/word/media/rId79.png" ContentType="image/png"/>
  <Override PartName="/word/media/rId64.png" ContentType="image/png"/>
  <Override PartName="/word/media/rId137.png" ContentType="image/png"/>
  <Override PartName="/word/media/rId60.png" ContentType="image/png"/>
  <Override PartName="/word/media/rId107.png" ContentType="image/png"/>
  <Override PartName="/word/media/rId50.png" ContentType="image/png"/>
  <Override PartName="/word/media/rId72.png" ContentType="image/png"/>
  <Override PartName="/word/media/rId133.png" ContentType="image/png"/>
  <Override PartName="/word/media/rId101.png" ContentType="image/png"/>
  <Override PartName="/word/media/rId94.png" ContentType="image/png"/>
  <Override PartName="/word/media/rId121.png" ContentType="image/png"/>
  <Override PartName="/word/media/rId142.png" ContentType="image/png"/>
  <Override PartName="/word/media/rId89.png" ContentType="image/png"/>
  <Override PartName="/word/media/rId160.jpg" ContentType="image/jpeg"/>
  <Override PartName="/word/media/rId152.jpg" ContentType="image/jpeg"/>
  <Override PartName="/word/media/rId165.jpg" ContentType="image/jpeg"/>
  <Override PartName="/word/media/rId175.jpg" ContentType="image/jpeg"/>
  <Override PartName="/word/media/rId180.jpg" ContentType="image/jpeg"/>
  <Override PartName="/word/media/rId185.jpg" ContentType="image/jpeg"/>
  <Override PartName="/word/media/rId193.jpg" ContentType="image/jpeg"/>
  <Override PartName="/word/media/rId197.jpg" ContentType="image/jpeg"/>
  <Override PartName="/word/media/rId202.jpg" ContentType="image/jpeg"/>
  <Override PartName="/word/media/rId156.png" ContentType="image/png"/>
  <Override PartName="/word/media/rId189.png" ContentType="image/png"/>
  <Override PartName="/word/media/rId209.png" ContentType="image/png"/>
  <Override PartName="/word/media/rId221.png" ContentType="image/png"/>
  <Override PartName="/word/media/rId281.png" ContentType="image/png"/>
  <Override PartName="/word/media/rId286.png" ContentType="image/png"/>
  <Override PartName="/word/media/rId291.png" ContentType="image/png"/>
  <Override PartName="/word/media/rId297.png" ContentType="image/png"/>
  <Override PartName="/word/media/rId301.png" ContentType="image/png"/>
  <Override PartName="/word/media/rId231.png" ContentType="image/png"/>
  <Override PartName="/word/media/rId238.png" ContentType="image/png"/>
  <Override PartName="/word/media/rId254.png" ContentType="image/png"/>
  <Override PartName="/word/media/rId259.png" ContentType="image/png"/>
  <Override PartName="/word/media/rId263.png" ContentType="image/png"/>
  <Override PartName="/word/media/rId267.png" ContentType="image/png"/>
  <Override PartName="/word/media/rId271.png" ContentType="image/png"/>
  <Override PartName="/word/media/rId276.png" ContentType="image/png"/>
  <Override PartName="/word/media/rId226.png" ContentType="image/png"/>
  <Override PartName="/word/media/rId242.png" ContentType="image/png"/>
  <Override PartName="/word/media/rId351.png" ContentType="image/png"/>
  <Override PartName="/word/media/rId341.png" ContentType="image/png"/>
  <Override PartName="/word/media/rId319.png" ContentType="image/png"/>
  <Override PartName="/word/media/rId329.png" ContentType="image/png"/>
  <Override PartName="/word/media/rId355.png" ContentType="image/png"/>
  <Override PartName="/word/media/rId337.png" ContentType="image/png"/>
  <Override PartName="/word/media/rId314.png" ContentType="image/png"/>
  <Override PartName="/word/media/rId373.png" ContentType="image/png"/>
  <Override PartName="/word/media/rId346.png" ContentType="image/png"/>
  <Override PartName="/word/media/rId368.png" ContentType="image/png"/>
  <Override PartName="/word/media/rId387.png" ContentType="image/png"/>
  <Override PartName="/word/media/rId382.png" ContentType="image/png"/>
  <Override PartName="/word/media/rId448.png" ContentType="image/png"/>
  <Override PartName="/word/media/rId435.png" ContentType="image/png"/>
  <Override PartName="/word/media/rId396.png" ContentType="image/png"/>
  <Override PartName="/word/media/rId403.png" ContentType="image/png"/>
  <Override PartName="/word/media/rId429.png" ContentType="image/png"/>
  <Override PartName="/word/media/rId440.png" ContentType="image/png"/>
  <Override PartName="/word/media/rId444.png" ContentType="image/png"/>
  <Override PartName="/word/media/rId460.png" ContentType="image/png"/>
  <Override PartName="/word/media/rId407.png" ContentType="image/png"/>
  <Override PartName="/word/media/rId425.png" ContentType="image/png"/>
  <Override PartName="/word/media/rId420.png" ContentType="image/png"/>
  <Override PartName="/word/media/rId465.png" ContentType="image/png"/>
  <Override PartName="/word/media/rId470.png" ContentType="image/png"/>
  <Override PartName="/word/media/rId478.jpg" ContentType="image/jpeg"/>
  <Override PartName="/word/media/rId491.jpg" ContentType="image/jpeg"/>
  <Override PartName="/word/media/rId495.jpg" ContentType="image/jpeg"/>
  <Override PartName="/word/media/rId487.jpg" ContentType="image/jpeg"/>
  <Override PartName="/word/media/rId482.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World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9"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w:t>
      </w:r>
      <w:r>
        <w:t xml:space="preserve"> </w:t>
      </w:r>
      <w:r>
        <w:t xml:space="preserve">(Barbier, 2019; Barbier et al., 2011)</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mangroves, salt 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 Studies have shown that carbon accumulation is 30 to 50 times higher in coastal wetlands than in forest ecosystems</w:t>
      </w:r>
      <w:r>
        <w:t xml:space="preserve"> </w:t>
      </w:r>
      <w:r>
        <w:t xml:space="preserve">(Bridgham et al., 2006; Mcleod et al., 2011; Ouyang and Lee, 2014)</w:t>
      </w:r>
      <w:r>
        <w:t xml:space="preserve">.</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salt marshes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salt marshes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aerial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anemones, limpets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(mearl),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asine</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p>
      <w:pPr>
        <w:pStyle w:val="BodyText"/>
      </w:pPr>
      <w:r>
        <w:t xml:space="preserve">Their structural complexity offers refuge from predators, supporting juvenile survival and biodiversity. As blue carbon ecosystems, these meadows play a significant role in global carbon sequestration, capturing and storing carbon at rates comparable to, or exceeding, terrestrial forests</w:t>
      </w:r>
      <w:r>
        <w:t xml:space="preserve"> </w:t>
      </w:r>
      <w:r>
        <w:t xml:space="preserve">(Krause-Jensen et al., 2018; McRoy and McMillan, 1977; Saderne et al., 2019)</w:t>
      </w:r>
      <w:r>
        <w:t xml:space="preserve">.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bookmarkEnd w:id="76"/>
    <w:bookmarkEnd w:id="77"/>
    <w:bookmarkEnd w:id="78"/>
    <w:bookmarkStart w:id="147"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electro-magnetic (from gamma-rays to radio) or acoustic, between the target and the sensor. RS provides the basis for Earth observation (EO), where its methodologies facilitate large-scale and long-term data collection. Instruments on satellites, manned or unmanned aircrafts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 (or compressive waves)—toward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emits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above-ground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manned or unmanned aicrafts, or satellites.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Complementing the RTK-enhanced GPS solution, a high-grade Inertial Measurement Unit (IMU) is integrated with the LiDAR sensor to capture the platform’s attitude—roll, pitch, and yaw—as well as its short-term velocity and acceleration. The IMU’s tri-axial gyroscopes and accelerometers sample at hundreds to thousands of hertz, providing a continuous, high-frequency record of the sensor’s orientation and motion between successive GNSS fixes. By fusing these inertial measurements with the RTK-corrected position solution (typically using an extended Kalman filter) the system preserves centimetre-level positional accuracy even during brief GNSS outages or rapid manoeuvres. Precise IMU calibration (bias, scale-factor, and misalignment) is therefore crucial: unmodelled drift or misalignment can propagate directly into the point cloud as systematic tilts or</w:t>
      </w:r>
      <w:r>
        <w:t xml:space="preserve"> </w:t>
      </w:r>
      <w:r>
        <w:t xml:space="preserve">“smearing”</w:t>
      </w:r>
      <w:r>
        <w:t xml:space="preserve"> </w:t>
      </w:r>
      <w:r>
        <w:t xml:space="preserve">of features. When properly calibrated and tightly coupled with RTK, the IMU ensures that every laser pulse is georeferenced with the correct spatial orientation, underpinning the geometric fidelity of the final 3-D dataset.</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blue (~420 nm) or green (~532 nm) wavelengths, penetrates the water column to reveal submerged landscapes, including coral reefs, seagrass meadows, and shallow seabeds</w:t>
      </w:r>
      <w:r>
        <w:t xml:space="preserve"> </w:t>
      </w:r>
      <w:r>
        <w:t xml:space="preserve">(Baiocchi et al., 2024; Costa et al., 2009; Pan et al., 2016)</w:t>
      </w:r>
      <w:r>
        <w:t xml:space="preserve">. Operating within the visible region of the electromagnetic spectrum, it is more susceptible to atmospheric scattering than NIR LiDAR, making it less suitable for terrestrial applications.</w:t>
      </w:r>
    </w:p>
    <w:p>
      <w:pPr>
        <w:pStyle w:val="BodyText"/>
      </w:pPr>
      <w:r>
        <w:t xml:space="preserve">The Litto3D® product, distributed by the Service hydrographique et océanographique de la Marine (SHOM ;</w:t>
      </w:r>
      <w:r>
        <w:t xml:space="preserve"> </w:t>
      </w:r>
      <w:r>
        <w:t xml:space="preserve">SHOM (n.d.)</w:t>
      </w:r>
      <w:r>
        <w:t xml:space="preserve">) and the Institut national de l’information géographique et forestière</w:t>
      </w:r>
      <w:r>
        <w:t xml:space="preserve"> </w:t>
      </w:r>
      <w:r>
        <w:t xml:space="preserve">(IGN, 2024a)</w:t>
      </w:r>
      <w:r>
        <w:t xml:space="preserve">, is an open-data dataset consisting of high-resolution bathymetric and topographic maps of coastal areas produced with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with vertical accuracy up to 50 cm.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irradiance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.nm</w:t>
      </w:r>
      <w:r>
        <w:rPr>
          <w:vertAlign w:val="superscript"/>
        </w:rPr>
        <w:t xml:space="preserve">-1</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sepChr m:val=""/>
              <m:endChr m:val=")"/>
              <m:grow/>
            </m:dPr>
            <m:e>
              <m:r>
                <m:t>λ</m:t>
              </m:r>
            </m:e>
          </m:d>
          <m:r>
            <m:rPr>
              <m:sty m:val="p"/>
            </m:rPr>
            <m:t>=</m:t>
          </m:r>
          <m:f>
            <m:fPr>
              <m:type m:val="bar"/>
            </m:fPr>
            <m:num>
              <m:sSub>
                <m:e>
                  <m:r>
                    <m:t>L</m:t>
                  </m:r>
                </m:e>
                <m:sub>
                  <m:r>
                    <m:t>u</m:t>
                  </m:r>
                </m:sub>
              </m:sSub>
              <m:d>
                <m:dPr>
                  <m:begChr m:val="("/>
                  <m:sepChr m:val=""/>
                  <m:endChr m:val=")"/>
                  <m:grow/>
                </m:dPr>
                <m:e>
                  <m:r>
                    <m:t>λ</m:t>
                  </m:r>
                </m:e>
              </m:d>
            </m:num>
            <m:den>
              <m:sSub>
                <m:e>
                  <m:r>
                    <m:t>L</m:t>
                  </m:r>
                </m:e>
                <m:sub>
                  <m:r>
                    <m:t>d</m:t>
                  </m:r>
                </m:sub>
              </m:sSub>
              <m:d>
                <m:dPr>
                  <m:begChr m:val="("/>
                  <m:sepChr m:val=""/>
                  <m:endChr m:val=")"/>
                  <m:grow/>
                </m:dPr>
                <m:e>
                  <m:r>
                    <m:t>λ</m:t>
                  </m:r>
                </m:e>
              </m:d>
            </m:den>
          </m:f>
          <m:r>
            <m:t>  </m:t>
          </m:r>
          <m:d>
            <m:dPr>
              <m:begChr m:val="("/>
              <m:sepChr m:val=""/>
              <m:end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sepChr m:val=""/>
                  <m:endChr m:val=")"/>
                  <m:grow/>
                </m:dPr>
                <m:e>
                  <m:r>
                    <m:t>N</m:t>
                  </m:r>
                  <m:r>
                    <m:t>I</m:t>
                  </m:r>
                  <m:r>
                    <m:t>R</m:t>
                  </m:r>
                </m:e>
              </m:d>
              <m:r>
                <m:rPr>
                  <m:sty m:val="p"/>
                </m:rPr>
                <m:t>−</m:t>
              </m:r>
              <m:r>
                <m:t>R</m:t>
              </m:r>
              <m:d>
                <m:dPr>
                  <m:begChr m:val="("/>
                  <m:sepChr m:val=""/>
                  <m:endChr m:val=")"/>
                  <m:grow/>
                </m:dPr>
                <m:e>
                  <m:r>
                    <m:t>R</m:t>
                  </m:r>
                  <m:r>
                    <m:t>e</m:t>
                  </m:r>
                  <m:r>
                    <m:t>d</m:t>
                  </m:r>
                </m:e>
              </m:d>
            </m:num>
            <m:den>
              <m:r>
                <m:t>R</m:t>
              </m:r>
              <m:d>
                <m:dPr>
                  <m:begChr m:val="("/>
                  <m:sepChr m:val=""/>
                  <m:endChr m:val=")"/>
                  <m:grow/>
                </m:dPr>
                <m:e>
                  <m:r>
                    <m:t>N</m:t>
                  </m:r>
                  <m:r>
                    <m:t>I</m:t>
                  </m:r>
                  <m:r>
                    <m:t>R</m:t>
                  </m:r>
                </m:e>
              </m:d>
              <m:r>
                <m:rPr>
                  <m:sty m:val="p"/>
                </m:rPr>
                <m:t>+</m:t>
              </m:r>
              <m:r>
                <m:t>R</m:t>
              </m:r>
              <m:d>
                <m:dPr>
                  <m:begChr m:val="("/>
                  <m:sepChr m:val=""/>
                  <m:endChr m:val=")"/>
                  <m:grow/>
                </m:dPr>
                <m:e>
                  <m:r>
                    <m:t>R</m:t>
                  </m:r>
                  <m:r>
                    <m:t>e</m:t>
                  </m:r>
                  <m:r>
                    <m:t>d</m:t>
                  </m:r>
                </m:e>
              </m:d>
            </m:den>
          </m:f>
          <m:r>
            <m:t>  </m:t>
          </m:r>
          <m:d>
            <m:dPr>
              <m:begChr m:val="("/>
              <m:sepChr m:val=""/>
              <m:endChr m:val=")"/>
              <m:grow/>
            </m:dPr>
            <m:e>
              <m:r>
                <m:t>1.2</m:t>
              </m:r>
            </m:e>
          </m:d>
        </m:oMath>
      </m:oMathPara>
      <w:bookmarkEnd w:id="93"/>
    </w:p>
    <w:p>
      <w:pPr>
        <w:pStyle w:val="FirstParagraph"/>
      </w:pPr>
      <w:r>
        <w:t xml:space="preserve">where</w:t>
      </w:r>
      <w:r>
        <w:t xml:space="preserve"> </w:t>
      </w:r>
      <m:oMath>
        <m:r>
          <m:t>R</m:t>
        </m:r>
        <m:d>
          <m:dPr>
            <m:begChr m:val="("/>
            <m:sepChr m:val=""/>
            <m:endChr m:val=")"/>
            <m:grow/>
          </m:dPr>
          <m:e>
            <m:r>
              <m:t>N</m:t>
            </m:r>
            <m:r>
              <m:t>I</m:t>
            </m:r>
            <m:r>
              <m:t>R</m:t>
            </m:r>
          </m:e>
        </m:d>
      </m:oMath>
      <w:r>
        <w:t xml:space="preserve"> </w:t>
      </w:r>
      <w:r>
        <w:t xml:space="preserve">is the reflectance in the NIR region around 800 nm (700 to 1000 nm ad hoc) and</w:t>
      </w:r>
      <w:r>
        <w:t xml:space="preserve"> </w:t>
      </w:r>
      <m:oMath>
        <m:r>
          <m:t>R</m:t>
        </m:r>
        <m:d>
          <m:dPr>
            <m:begChr m:val="("/>
            <m:sepChr m:val=""/>
            <m:end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s"/>
    <w:p>
      <w:pPr>
        <w:pStyle w:val="Heading4"/>
      </w:pPr>
      <w:r>
        <w:t xml:space="preserve">1.2.2.1 Spectral and Radiometric resolutions</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
    <w:p>
      <w:pPr>
        <w:pStyle w:val="Heading4"/>
      </w:pPr>
      <w:r>
        <w:t xml:space="preserve">1.2.2.3 Temporal resolution</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the italian Precursore IperSpecttrale della Missione Applicativa (PRISMA) or the Environmental Mapping and Analysis Program (EnMAP). While these systems may lack consistent temporal archives for a given study site, they provide unmatched flexibility for high-resolution data collection. Such sensors are 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2"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GNSS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GNSS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20" w:name="data-acquisition"/>
    <w:p>
      <w:pPr>
        <w:pStyle w:val="Heading4"/>
      </w:pPr>
      <w:r>
        <w:t xml:space="preserve">1.2.3.3 Data acquisition</w:t>
      </w:r>
    </w:p>
    <w:bookmarkStart w:id="118" w:name="case-of-passive-remote-sensing"/>
    <w:p>
      <w:pPr>
        <w:pStyle w:val="Heading5"/>
      </w:pPr>
      <w:r>
        <w:t xml:space="preserve">1.2.3.3.1 Case of passive remote sensing</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sepChr m:val=""/>
              <m:end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sepChr m:val=""/>
              <m:end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sepChr m:val=""/>
              <m:end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19" w:name="case-of-active-remote-sensing"/>
    <w:p>
      <w:pPr>
        <w:pStyle w:val="Heading5"/>
      </w:pPr>
      <w:r>
        <w:t xml:space="preserve">1.2.3.3.2 Case of active remote sensing</w:t>
      </w:r>
    </w:p>
    <w:p>
      <w:pPr>
        <w:pStyle w:val="FirstParagraph"/>
      </w:pPr>
      <w:r>
        <w:t xml:space="preserve">LiDAR mapping does not impose the stringent forward- and side-overlap requirements that constrain camera-based photogrammetry, because every laser pulse is directly georeferenced; only a modest side overlap—typically 30 % to 50 %—between adjacent flight lines is needed to prevent data gaps. For a flight altitude</w:t>
      </w:r>
      <w:r>
        <w:t xml:space="preserve"> </w:t>
      </w:r>
      <m:oMath>
        <m:r>
          <m:t>H</m:t>
        </m:r>
      </m:oMath>
      <w:r>
        <w:t xml:space="preserve"> </w:t>
      </w:r>
      <w:r>
        <w:t xml:space="preserve">and scanner field-of-view half-angle</w:t>
      </w:r>
      <w:r>
        <w:t xml:space="preserve"> </w:t>
      </w:r>
      <m:oMath>
        <m:r>
          <m:t>θ</m:t>
        </m:r>
      </m:oMath>
      <w:r>
        <w:t xml:space="preserve">, the ground swath</w:t>
      </w:r>
      <w:r>
        <w:t xml:space="preserve"> </w:t>
      </w:r>
      <m:oMath>
        <m:r>
          <m:t>S</m:t>
        </m:r>
      </m:oMath>
      <w:r>
        <w:t xml:space="preserve"> </w:t>
      </w:r>
      <w:r>
        <w:t xml:space="preserve">is</w:t>
      </w:r>
    </w:p>
    <w:p>
      <w:pPr>
        <w:pStyle w:val="BodyText"/>
      </w:pPr>
      <w:r>
        <w:t xml:space="preserve">While the mirror oscillates at</w:t>
      </w:r>
      <w:r>
        <w:t xml:space="preserve"> </w:t>
      </w:r>
      <m:oMath>
        <m:sSub>
          <m:e>
            <m:r>
              <m:t>f</m:t>
            </m:r>
          </m:e>
          <m:sub>
            <m:r>
              <m:t>s</m:t>
            </m:r>
          </m:sub>
        </m:sSub>
      </m:oMath>
      <w:r>
        <w:t xml:space="preserve"> </w:t>
      </w:r>
      <w:r>
        <w:t xml:space="preserve">lines s</w:t>
      </w:r>
      <w:r>
        <w:rPr>
          <w:vertAlign w:val="superscript"/>
        </w:rPr>
        <w:t xml:space="preserve">-1</w:t>
      </w:r>
      <w:r>
        <w:t xml:space="preserve">, the drone advances</w:t>
      </w:r>
      <w:r>
        <w:t xml:space="preserve"> </w:t>
      </w:r>
      <m:oMath>
        <m:r>
          <m:t>Δ</m:t>
        </m:r>
        <m:r>
          <m:t>x</m:t>
        </m:r>
      </m:oMath>
      <w:r>
        <w:t xml:space="preserve"> </w:t>
      </w:r>
      <w:r>
        <w:t xml:space="preserve">meters between lines, and the spacing between successive pulses within each line</w:t>
      </w:r>
      <w:r>
        <w:t xml:space="preserve"> </w:t>
      </w:r>
      <m:oMath>
        <m:r>
          <m:t>Δ</m:t>
        </m:r>
        <m:r>
          <m:t>y</m:t>
        </m:r>
      </m:oMath>
    </w:p>
    <w:p>
      <w:pPr>
        <w:pStyle w:val="BodyText"/>
      </w:pPr>
      <w:r>
        <w:t xml:space="preserve">where</w:t>
      </w:r>
      <w:r>
        <w:t xml:space="preserve"> </w:t>
      </w:r>
      <m:oMath>
        <m:r>
          <m:t>P</m:t>
        </m:r>
        <m:r>
          <m:t>R</m:t>
        </m:r>
        <m:r>
          <m:t>F</m:t>
        </m:r>
      </m:oMath>
      <w:r>
        <w:t xml:space="preserve"> </w:t>
      </w:r>
      <w:r>
        <w:t xml:space="preserve">is the pulse-repetition frequency and</w:t>
      </w:r>
      <w:r>
        <w:t xml:space="preserve"> </w:t>
      </w:r>
      <m:oMath>
        <m:r>
          <m:t>v</m:t>
        </m:r>
      </m:oMath>
      <w:r>
        <w:t xml:space="preserve"> </w:t>
      </w:r>
      <w:r>
        <w:t xml:space="preserve">the ground speed. The average point density</w:t>
      </w:r>
      <w:r>
        <w:t xml:space="preserve"> </w:t>
      </w:r>
      <m:oMath>
        <m:r>
          <m:t>D</m:t>
        </m:r>
      </m:oMath>
      <w:r>
        <w:t xml:space="preserve"> </w:t>
      </w:r>
      <w:r>
        <w:t xml:space="preserve">therefore becomes</w:t>
      </w:r>
    </w:p>
    <w:p>
      <w:pPr>
        <w:pStyle w:val="BodyText"/>
      </w:pPr>
      <w:r>
        <w:t xml:space="preserve">Side overlap for LiDAR (</w:t>
      </w:r>
      <m:oMath>
        <m:r>
          <m:t>S</m:t>
        </m:r>
        <m:sSub>
          <m:e>
            <m:r>
              <m:t>O</m:t>
            </m:r>
          </m:e>
          <m:sub>
            <m:r>
              <m:t>L</m:t>
            </m:r>
          </m:sub>
        </m:sSub>
      </m:oMath>
      <w:r>
        <w:t xml:space="preserve">) follows the simple relation</w:t>
      </w:r>
    </w:p>
    <w:p>
      <w:pPr>
        <w:pStyle w:val="BodyText"/>
      </w:pPr>
      <w:r>
        <w:t xml:space="preserve">with</w:t>
      </w:r>
      <w:r>
        <w:t xml:space="preserve"> </w:t>
      </w:r>
      <m:oMath>
        <m:sSub>
          <m:e>
            <m:r>
              <m:t>d</m:t>
            </m:r>
          </m:e>
          <m:sub>
            <m:r>
              <m:rPr>
                <m:nor/>
                <m:sty m:val="p"/>
              </m:rPr>
              <m:t>flight line</m:t>
            </m:r>
          </m:sub>
        </m:sSub>
      </m:oMath>
      <w:r>
        <w:t xml:space="preserve"> </w:t>
      </w:r>
      <w:r>
        <w:t xml:space="preserve">the spacing between neighbouring tracks.</w:t>
      </w:r>
    </w:p>
    <w:p>
      <w:pPr>
        <w:pStyle w:val="BodyText"/>
      </w:pPr>
      <w:r>
        <w:t xml:space="preserve">Mission planning is a trade-off: increasing altitude broadens the swath and shortens total flight time but lowers point density quadratically; flying faster reduces density linearly; higher</w:t>
      </w:r>
      <w:r>
        <w:t xml:space="preserve"> </w:t>
      </w:r>
      <m:oMath>
        <m:r>
          <m:t>P</m:t>
        </m:r>
        <m:r>
          <m:t>R</m:t>
        </m:r>
        <m:r>
          <m:t>F</m:t>
        </m:r>
      </m:oMath>
      <w:r>
        <w:t xml:space="preserve"> </w:t>
      </w:r>
      <w:r>
        <w:t xml:space="preserve">boosts density but consumes more power, and a higher mirror frequency</w:t>
      </w:r>
      <w:r>
        <w:t xml:space="preserve"> </w:t>
      </w:r>
      <m:oMath>
        <m:sSub>
          <m:e>
            <m:r>
              <m:t>f</m:t>
            </m:r>
          </m:e>
          <m:sub>
            <m:r>
              <m:t>s</m:t>
            </m:r>
          </m:sub>
        </m:sSub>
      </m:oMath>
      <w:r>
        <w:t xml:space="preserve"> </w:t>
      </w:r>
      <w:r>
        <w:t xml:space="preserve">mitigates motion blur at the cost of coarser across-track spacing. Under the European legislation of 120 m of maximum flight height, a multirotor carrying DJI Zenmuse L1 scanner with a</w:t>
      </w:r>
      <w:r>
        <w:t xml:space="preserve"> </w:t>
      </w:r>
      <m:oMath>
        <m:r>
          <m:t>P</m:t>
        </m:r>
        <m:r>
          <m:t>R</m:t>
        </m:r>
        <m:r>
          <m:t>F</m:t>
        </m:r>
      </m:oMath>
      <w:r>
        <w:t xml:space="preserve"> </w:t>
      </w:r>
      <w:r>
        <w:t xml:space="preserve">of 240khz, a horizontal field-of-view</w:t>
      </w:r>
      <w:r>
        <w:t xml:space="preserve"> </w:t>
      </w:r>
      <m:oMath>
        <m:r>
          <m:t>θ</m:t>
        </m:r>
      </m:oMath>
      <w:r>
        <w:t xml:space="preserve"> </w:t>
      </w:r>
      <w:r>
        <w:t xml:space="preserve">of 70.4°, a flight speed</w:t>
      </w:r>
      <w:r>
        <w:t xml:space="preserve"> </w:t>
      </w:r>
      <m:oMath>
        <m:r>
          <m:t>v</m:t>
        </m:r>
      </m:oMath>
      <w:r>
        <w:t xml:space="preserve"> </w:t>
      </w:r>
      <w:r>
        <w:t xml:space="preserve">of 8 m.s</w:t>
      </w:r>
      <w:r>
        <w:rPr>
          <w:vertAlign w:val="superscript"/>
        </w:rPr>
        <w:t xml:space="preserve">-1</w:t>
      </w:r>
      <w:r>
        <w:t xml:space="preserve"> </w:t>
      </w:r>
      <w:r>
        <w:t xml:space="preserve">can archive a point density of 180 pts.m</w:t>
      </w:r>
      <w:r>
        <w:rPr>
          <w:vertAlign w:val="superscript"/>
        </w:rPr>
        <w:t xml:space="preserve">-2</w:t>
      </w:r>
      <w:r>
        <w:t xml:space="preserve">. Choosing a 30 % side overlap (</w:t>
      </w:r>
      <m:oMath>
        <m:sSub>
          <m:e>
            <m:r>
              <m:t>d</m:t>
            </m:r>
          </m:e>
          <m:sub>
            <m:r>
              <m:rPr>
                <m:nor/>
                <m:sty m:val="p"/>
              </m:rPr>
              <m:t>flight line</m:t>
            </m:r>
          </m:sub>
        </m:sSub>
      </m:oMath>
      <w:r>
        <w:t xml:space="preserve"> </w:t>
      </w:r>
      <w:r>
        <w:t xml:space="preserve">≈ 118 m), the 40 km² intertidal meadow in the Bassin d’Arcachon could be mapped in roughly 12 hours of airtime—four times faster than the optical workflow outlined earlier. Such efficiency gains are realised only when laser boresight angles are carefully calibrated and GNSS–IMU data are tightly coupled, as an orientation bias of merely 0.05° still propagates into a 10 cm horizontal error at 120 m altitude, directly degrading the fidelity of the resulting point cloud.</w:t>
      </w:r>
    </w:p>
    <w:bookmarkEnd w:id="119"/>
    <w:bookmarkEnd w:id="120"/>
    <w:bookmarkStart w:id="131" w:name="data-processing"/>
    <w:p>
      <w:pPr>
        <w:pStyle w:val="Heading4"/>
      </w:pPr>
      <w:r>
        <w:t xml:space="preserve">1.2.3.4 Data processing</w:t>
      </w:r>
    </w:p>
    <w:bookmarkStart w:id="129" w:name="photogrammetry"/>
    <w:p>
      <w:pPr>
        <w:pStyle w:val="Heading5"/>
      </w:pPr>
      <w:r>
        <w:t xml:space="preserve">1.2.3.4.1 Photogrammetry</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Pix4D or WebODM, enables users to perform these essential steps efficiently, making advanced data processing accessible even to non-expert users. Steps to obtain an orthoimage from a bunch of single images will be described now in more details.</w:t>
      </w:r>
    </w:p>
    <w:p>
      <w:pPr>
        <w:pStyle w:val="BodyText"/>
      </w:pPr>
      <w:r>
        <w:rPr>
          <w:b/>
          <w:bCs/>
        </w:rPr>
        <w:t xml:space="preserve">Image pre-processing</w:t>
      </w:r>
    </w:p>
    <w:p>
      <w:pPr>
        <w:pStyle w:val="BodyText"/>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4" w:name="fig-img_preprocessing"/>
          <w:p>
            <w:pPr>
              <w:pStyle w:val="Compact"/>
              <w:jc w:val="center"/>
            </w:pPr>
            <w:r>
              <w:drawing>
                <wp:inline>
                  <wp:extent cx="5349240" cy="4071564"/>
                  <wp:effectExtent b="0" l="0" r="0" t="0"/>
                  <wp:docPr descr="" title="" id="122" name="Picture"/>
                  <a:graphic>
                    <a:graphicData uri="http://schemas.openxmlformats.org/drawingml/2006/picture">
                      <pic:pic>
                        <pic:nvPicPr>
                          <pic:cNvPr descr="Chapter1/Figs/distortion.png" id="123" name="Picture"/>
                          <pic:cNvPicPr>
                            <a:picLocks noChangeArrowheads="1" noChangeAspect="1"/>
                          </pic:cNvPicPr>
                        </pic:nvPicPr>
                        <pic:blipFill>
                          <a:blip r:embed="rId121"/>
                          <a:stretch>
                            <a:fillRect/>
                          </a:stretch>
                        </pic:blipFill>
                        <pic:spPr bwMode="auto">
                          <a:xfrm>
                            <a:off x="0" y="0"/>
                            <a:ext cx="5349240" cy="4071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4"/>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p>
      <w:pPr>
        <w:pStyle w:val="BodyText"/>
      </w:pPr>
      <w:r>
        <w:rPr>
          <w:b/>
          <w:bCs/>
        </w:rPr>
        <w:t xml:space="preserve">Initial Image Alignment / Aerial Triangulation</w:t>
      </w:r>
    </w:p>
    <w:p>
      <w:pPr>
        <w:pStyle w:val="BodyText"/>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p>
      <w:pPr>
        <w:pStyle w:val="BodyText"/>
      </w:pPr>
      <w:r>
        <w:rPr>
          <w:b/>
          <w:bCs/>
        </w:rPr>
        <w:t xml:space="preserve">Ground Control Point Integration</w:t>
      </w:r>
    </w:p>
    <w:p>
      <w:pPr>
        <w:pStyle w:val="BodyText"/>
      </w:pPr>
      <w:r>
        <w:t xml:space="preserve">Before generating a dense point cloud, the sparse reconstruction is brought into real‐world coordinates using ground control points (GCPs). Well‐distributed targets with precisely surveyed XYZ positions are manually or automatically identified in multiple images, and their image‐space measurements are tied to the corresponding object‐space coordinates. A secondary bundle adjustment then refines camera exterior and interior parameters to minimize residual errors at the GCPs, dramatically improving the absolute georeferencing and reducing systematic drift prior to dense reconstruction.</w:t>
      </w:r>
    </w:p>
    <w:p>
      <w:pPr>
        <w:pStyle w:val="BodyText"/>
      </w:pPr>
      <w:r>
        <w:rPr>
          <w:b/>
          <w:bCs/>
        </w:rPr>
        <w:t xml:space="preserve">Dense Point Cloud Generation</w:t>
      </w:r>
    </w:p>
    <w:p>
      <w:pPr>
        <w:pStyle w:val="BodyText"/>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pPr>
        <w:pStyle w:val="BodyText"/>
      </w:pPr>
      <w:r>
        <w:rPr>
          <w:b/>
          <w:bCs/>
        </w:rPr>
        <w:t xml:space="preserve">Digital Surface Model (DSM) / Digital Terrain Model (DTM)</w:t>
      </w:r>
    </w:p>
    <w:p>
      <w:pPr>
        <w:pStyle w:val="BodyText"/>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SMDTM"/>
          <w:p>
            <w:pPr>
              <w:pStyle w:val="Compact"/>
              <w:jc w:val="center"/>
            </w:pPr>
            <w:r>
              <w:drawing>
                <wp:inline>
                  <wp:extent cx="5349240" cy="2673633"/>
                  <wp:effectExtent b="0" l="0" r="0" t="0"/>
                  <wp:docPr descr="" title="" id="126" name="Picture"/>
                  <a:graphic>
                    <a:graphicData uri="http://schemas.openxmlformats.org/drawingml/2006/picture">
                      <pic:pic>
                        <pic:nvPicPr>
                          <pic:cNvPr descr="Chapter1/Figs/DSM_DTM.png" id="127" name="Picture"/>
                          <pic:cNvPicPr>
                            <a:picLocks noChangeArrowheads="1" noChangeAspect="1"/>
                          </pic:cNvPicPr>
                        </pic:nvPicPr>
                        <pic:blipFill>
                          <a:blip r:embed="rId125"/>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8"/>
        </w:tc>
      </w:tr>
    </w:tbl>
    <w:p>
      <w:pPr>
        <w:pStyle w:val="BodyText"/>
      </w:pPr>
      <w:r>
        <w:rPr>
          <w:b/>
          <w:bCs/>
        </w:rPr>
        <w:t xml:space="preserve">Orthorectification and Orthomosaic Creation</w:t>
      </w:r>
    </w:p>
    <w:p>
      <w:pPr>
        <w:pStyle w:val="BodyText"/>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p>
      <w:pPr>
        <w:pStyle w:val="BodyText"/>
      </w:pPr>
      <w:r>
        <w:rPr>
          <w:b/>
          <w:bCs/>
        </w:rPr>
        <w:t xml:space="preserve">Optional steps</w:t>
      </w:r>
    </w:p>
    <w:p>
      <w:pPr>
        <w:pStyle w:val="BodyText"/>
      </w:pPr>
      <w:r>
        <w:t xml:space="preserve">Following the creation of a dense point cloud,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bookmarkEnd w:id="129"/>
    <w:bookmarkStart w:id="130" w:name="laserometry"/>
    <w:p>
      <w:pPr>
        <w:pStyle w:val="Heading5"/>
      </w:pPr>
      <w:r>
        <w:t xml:space="preserve">1.2.3.4.2 Laserometry</w:t>
      </w:r>
    </w:p>
    <w:p>
      <w:pPr>
        <w:pStyle w:val="FirstParagraph"/>
      </w:pPr>
      <w:r>
        <w:t xml:space="preserve">Although a drone-borne LiDAR system can already deliver georeferenced X-, Y- and Z-coordinates in flight, several post-processing steps are necessary to transform the raw pulses into analysis-ready elevation products. Modern tools—such as TerraScan, LAStools and DJI Terra—streamline this workflow. The following sections provide a basic introduction to the processing steps these tools perform.</w:t>
      </w:r>
    </w:p>
    <w:p>
      <w:pPr>
        <w:pStyle w:val="BodyText"/>
      </w:pPr>
      <w:r>
        <w:rPr>
          <w:b/>
          <w:bCs/>
        </w:rPr>
        <w:t xml:space="preserve">Trajectory &amp; Boresight Calibration</w:t>
      </w:r>
    </w:p>
    <w:p>
      <w:pPr>
        <w:pStyle w:val="BodyText"/>
      </w:pPr>
      <w:r>
        <w:t xml:space="preserve">The flight trajectory recorded by the onboard GNSS / IMU is first refined in a POS-processing stage that applies carrier-phase differential corrections and tightly couples inertial data. Next, a boresight calibration solves for the tiny roll, pitch, and yaw offsets between the laser, IMU, and camera recorded metadata by minimising height differences where overlapping</w:t>
      </w:r>
      <w:r>
        <w:t xml:space="preserve"> </w:t>
      </w:r>
      <w:r>
        <w:t xml:space="preserve">“strips”</w:t>
      </w:r>
      <w:r>
        <w:t xml:space="preserve"> </w:t>
      </w:r>
      <w:r>
        <w:t xml:space="preserve">cross one another. Accurate boresight values prevent banding and</w:t>
      </w:r>
      <w:r>
        <w:t xml:space="preserve"> </w:t>
      </w:r>
      <w:r>
        <w:t xml:space="preserve">“steps”</w:t>
      </w:r>
      <w:r>
        <w:t xml:space="preserve"> </w:t>
      </w:r>
      <w:r>
        <w:t xml:space="preserve">in the final surface model.</w:t>
      </w:r>
    </w:p>
    <w:p>
      <w:pPr>
        <w:pStyle w:val="BodyText"/>
      </w:pPr>
      <w:r>
        <w:rPr>
          <w:b/>
          <w:bCs/>
        </w:rPr>
        <w:t xml:space="preserve">Strip Alignment / Block Adjustment</w:t>
      </w:r>
    </w:p>
    <w:p>
      <w:pPr>
        <w:pStyle w:val="BodyText"/>
      </w:pPr>
      <w:r>
        <w:t xml:space="preserve">Even after calibration, residual offsets of a few centimetres can persist between flight lines. Strip alignment tools iteratively adjust each line’s position and orientation so that corresponding planar patches overlap seamlessly, producing a homogenous point cloud analogous to the bundle adjustment in photogrammetry.</w:t>
      </w:r>
    </w:p>
    <w:p>
      <w:pPr>
        <w:pStyle w:val="BodyText"/>
      </w:pPr>
      <w:r>
        <w:rPr>
          <w:b/>
          <w:bCs/>
        </w:rPr>
        <w:t xml:space="preserve">Point Classification</w:t>
      </w:r>
    </w:p>
    <w:p>
      <w:pPr>
        <w:pStyle w:val="BodyText"/>
      </w:pPr>
      <w:r>
        <w:t xml:space="preserve">The unified cloud is then classified—often with a hierarchical algorithm such as progressive TIN densification—into ground, vegetation, buildings, and noise. Ground points form the basis of the bare-earth model, while non-ground points can be analysed separately for canopy height, building volumes, or infrastructure clearance.</w:t>
      </w:r>
    </w:p>
    <w:p>
      <w:pPr>
        <w:pStyle w:val="BodyText"/>
      </w:pPr>
      <w:r>
        <w:rPr>
          <w:b/>
          <w:bCs/>
        </w:rPr>
        <w:t xml:space="preserve">Digital Terrain Model (DTM) / Digital Surface Model (DSM)</w:t>
      </w:r>
    </w:p>
    <w:p>
      <w:pPr>
        <w:pStyle w:val="BodyText"/>
      </w:pPr>
      <w:r>
        <w:t xml:space="preserve">Ground points are rasterised—usually with a mean or minimum filter—into a DTM that represents the bare earth. Conversely, by selecting the highest return in each grid cell one derives a DSM that captures treetops and rooftops. Subtracting the DTM from the DSM yields a DHM.</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0"/>
    <w:bookmarkEnd w:id="131"/>
    <w:bookmarkEnd w:id="132"/>
    <w:bookmarkStart w:id="141"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r>
        <w:t xml:space="preserve"> </w:t>
      </w:r>
      <w:r>
        <w:t xml:space="preserve">(Sammut and Webb, 2010)</w:t>
      </w:r>
      <w:r>
        <w:t xml:space="preserve">.</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w:t>
      </w:r>
      <w:hyperlink w:anchor="fig-img_RF">
        <w:r>
          <w:rPr>
            <w:rStyle w:val="Hyperlink"/>
          </w:rPr>
          <w:t xml:space="preserve">Figure 1.15</w:t>
        </w:r>
      </w:hyperlink>
      <w:r>
        <w:t xml:space="preserve">).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1.16</w:t>
        </w:r>
      </w:hyperlink>
      <w:r>
        <w:t xml:space="preserve">).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tbl>
      <w:tblPr>
        <w:tblStyle w:val="Table"/>
        <w:tblW w:type="pct" w:w="5000"/>
        <w:tblLayout w:type="fixed"/>
        <w:tblLook w:firstRow="0" w:lastRow="0" w:firstColumn="0" w:lastColumn="0" w:noHBand="0" w:noVBand="0" w:val="0000"/>
      </w:tblPr>
      <w:tblGrid>
        <w:gridCol w:w="7920"/>
      </w:tblGrid>
      <w:tr>
        <w:tc>
          <w:tcPr/>
          <w:bookmarkStart w:id="136" w:name="fig-img_RF"/>
          <w:p>
            <w:pPr>
              <w:pStyle w:val="Compact"/>
              <w:jc w:val="center"/>
            </w:pPr>
            <w:r>
              <w:drawing>
                <wp:inline>
                  <wp:extent cx="5349240" cy="3721007"/>
                  <wp:effectExtent b="0" l="0" r="0" t="0"/>
                  <wp:docPr descr="" title="" id="134" name="Picture"/>
                  <a:graphic>
                    <a:graphicData uri="http://schemas.openxmlformats.org/drawingml/2006/picture">
                      <pic:pic>
                        <pic:nvPicPr>
                          <pic:cNvPr descr="Chapter1/Figs/Random-Forest_PhD.png" id="135" name="Picture"/>
                          <pic:cNvPicPr>
                            <a:picLocks noChangeArrowheads="1" noChangeAspect="1"/>
                          </pic:cNvPicPr>
                        </pic:nvPicPr>
                        <pic:blipFill>
                          <a:blip r:embed="rId133"/>
                          <a:stretch>
                            <a:fillRect/>
                          </a:stretch>
                        </pic:blipFill>
                        <pic:spPr bwMode="auto">
                          <a:xfrm>
                            <a:off x="0" y="0"/>
                            <a:ext cx="5349240" cy="37210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Schematic representation of the fonctioning of the Random Forest algorithm used for classification</w:t>
            </w:r>
          </w:p>
          <w:bookmarkEnd w:id="136"/>
        </w:tc>
      </w:tr>
    </w:tbl>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1.16</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40" w:name="fig-learningRates"/>
          <w:p>
            <w:pPr>
              <w:pStyle w:val="Compact"/>
              <w:jc w:val="center"/>
            </w:pPr>
            <w:r>
              <w:drawing>
                <wp:inline>
                  <wp:extent cx="5349240" cy="4139502"/>
                  <wp:effectExtent b="0" l="0" r="0" t="0"/>
                  <wp:docPr descr="" title="" id="138" name="Picture"/>
                  <a:graphic>
                    <a:graphicData uri="http://schemas.openxmlformats.org/drawingml/2006/picture">
                      <pic:pic>
                        <pic:nvPicPr>
                          <pic:cNvPr descr="Chapter1/Figs/Model_fitting.png" id="139" name="Picture"/>
                          <pic:cNvPicPr>
                            <a:picLocks noChangeArrowheads="1" noChangeAspect="1"/>
                          </pic:cNvPicPr>
                        </pic:nvPicPr>
                        <pic:blipFill>
                          <a:blip r:embed="rId137"/>
                          <a:stretch>
                            <a:fillRect/>
                          </a:stretch>
                        </pic:blipFill>
                        <pic:spPr bwMode="auto">
                          <a:xfrm>
                            <a:off x="0" y="0"/>
                            <a:ext cx="5349240" cy="4139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Representation of the impact of Under- Optimal- and Over-fitting on Regression and Classification machine learning models. The bottom row shows a representation of the learning curve of each scenario.</w:t>
            </w:r>
          </w:p>
          <w:bookmarkEnd w:id="140"/>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subfield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41"/>
    <w:bookmarkStart w:id="146"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w:t>
      </w:r>
      <w:hyperlink w:anchor="fig-MullerKarger">
        <w:r>
          <w:rPr>
            <w:rStyle w:val="Hyperlink"/>
          </w:rPr>
          <w:t xml:space="preserve">Figure 1.17</w:t>
        </w:r>
      </w:hyperlink>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5" w:name="fig-MullerKarger"/>
          <w:p>
            <w:pPr>
              <w:pStyle w:val="Compact"/>
              <w:jc w:val="center"/>
            </w:pPr>
            <w:r>
              <w:drawing>
                <wp:inline>
                  <wp:extent cx="5370954" cy="3613620"/>
                  <wp:effectExtent b="0" l="0" r="0" t="0"/>
                  <wp:docPr descr="" title="" id="143" name="Picture"/>
                  <a:graphic>
                    <a:graphicData uri="http://schemas.openxmlformats.org/drawingml/2006/picture">
                      <pic:pic>
                        <pic:nvPicPr>
                          <pic:cNvPr descr="Chapter1/Figs/muller_EBVs.png" id="144" name="Picture"/>
                          <pic:cNvPicPr>
                            <a:picLocks noChangeArrowheads="1" noChangeAspect="1"/>
                          </pic:cNvPicPr>
                        </pic:nvPicPr>
                        <pic:blipFill>
                          <a:blip r:embed="rId142"/>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5"/>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6"/>
    <w:bookmarkEnd w:id="147"/>
    <w:bookmarkStart w:id="148"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t xml:space="preserve">This work focuses exclusively on soft-bottom intertidal habitats, such as mudflats and sandflats. Hard-bottom intertidal zones, such as rocky shores, are not considered in this study.</w:t>
      </w:r>
    </w:p>
    <w:p>
      <w:pPr>
        <w:pStyle w:val="BodyText"/>
      </w:pPr>
      <w:r>
        <w:rPr>
          <w:b/>
          <w:bCs/>
        </w:rPr>
        <w:t xml:space="preserve">Chapter 2</w:t>
      </w:r>
      <w:r>
        <w:t xml:space="preserve"> </w:t>
      </w:r>
      <w:r>
        <w:t xml:space="preserve">establishes the foundation by analyzing a spectral library to assess the feasibility of distinguishing different types of vegetation using RS. It demonstrate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8"/>
    <w:bookmarkEnd w:id="149"/>
    <w:bookmarkStart w:id="218" w:name="X2a43c79c57fbde6f1894e77d006f46c799fd383"/>
    <w:p>
      <w:pPr>
        <w:pStyle w:val="Heading1"/>
      </w:pPr>
      <w:r>
        <w:t xml:space="preserve">2. Multispectral and hyperspectral classification of intertidal vegetation using a spectral library for coastal biodiversity remote sensing</w:t>
      </w:r>
    </w:p>
    <w:bookmarkStart w:id="150"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50"/>
    <w:bookmarkStart w:id="151"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Chlorophyceae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51"/>
    <w:bookmarkStart w:id="174" w:name="materials-and-methods"/>
    <w:p>
      <w:pPr>
        <w:pStyle w:val="Heading2"/>
      </w:pPr>
      <w:r>
        <w:t xml:space="preserve">2.2 Materials and Methods</w:t>
      </w:r>
    </w:p>
    <w:bookmarkStart w:id="164" w:name="spectral-reflectance-acquisition"/>
    <w:p>
      <w:pPr>
        <w:pStyle w:val="Heading3"/>
      </w:pPr>
      <w:r>
        <w:t xml:space="preserve">2.2.1 Spectral Reflectance Acquisition</w:t>
      </w:r>
    </w:p>
    <w:p>
      <w:pPr>
        <w:pStyle w:val="FirstParagraph"/>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2.1</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5" w:name="fig-FIGMAP"/>
          <w:p>
            <w:pPr>
              <w:pStyle w:val="Compact"/>
              <w:jc w:val="center"/>
            </w:pPr>
            <w:r>
              <w:drawing>
                <wp:inline>
                  <wp:extent cx="5646420" cy="5231701"/>
                  <wp:effectExtent b="0" l="0" r="0" t="0"/>
                  <wp:docPr descr="" title="" id="153" name="Picture"/>
                  <a:graphic>
                    <a:graphicData uri="http://schemas.openxmlformats.org/drawingml/2006/picture">
                      <pic:pic>
                        <pic:nvPicPr>
                          <pic:cNvPr descr="Chapter2/Figs/Figure2_Bede.jpg" id="154" name="Picture"/>
                          <pic:cNvPicPr>
                            <a:picLocks noChangeArrowheads="1" noChangeAspect="1"/>
                          </pic:cNvPicPr>
                        </pic:nvPicPr>
                        <pic:blipFill>
                          <a:blip r:embed="rId152"/>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Sample collection sites across Europe. The map is based on the WGS 84 geographic coordinate system.</w:t>
            </w:r>
          </w:p>
          <w:bookmarkEnd w:id="155"/>
        </w:tc>
      </w:tr>
    </w:tbl>
    <w:p>
      <w:pPr>
        <w:pStyle w:val="BodyText"/>
      </w:pPr>
      <w:r>
        <w:t xml:space="preserve">Hyperspectral reflectance signatures were collected with an ASD FieldSpec HandHeld 2 regularly calibrated against a white reference panel (Spectralon panel with 99% reflectance) to correct for changes in ambient light conditions and remove instrumental noise. Spectral reflectance data were collected from a range of macroalgal, microphytobenthic and seagrass dominated soft-bottom intertidal areas. Samples were grouped at the class level: Magnoliopsida (Seagrasses), Chlorophyceae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2.2</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9"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2.1</w:t>
              </w:r>
            </w:hyperlink>
            <w:r>
              <w:t xml:space="preserve">.</w:t>
            </w:r>
          </w:p>
          <w:p>
            <w:pPr>
              <w:jc w:val="center"/>
            </w:pPr>
            <w:r>
              <w:drawing>
                <wp:inline>
                  <wp:extent cx="5646420" cy="6886832"/>
                  <wp:effectExtent b="0" l="0" r="0" t="0"/>
                  <wp:docPr descr="" title="" id="157" name="Picture"/>
                  <a:graphic>
                    <a:graphicData uri="http://schemas.openxmlformats.org/drawingml/2006/picture">
                      <pic:pic>
                        <pic:nvPicPr>
                          <pic:cNvPr descr="Chapter2/Figs/SPECIESTABLE.png" id="158" name="Picture"/>
                          <pic:cNvPicPr>
                            <a:picLocks noChangeArrowheads="1" noChangeAspect="1"/>
                          </pic:cNvPicPr>
                        </pic:nvPicPr>
                        <pic:blipFill>
                          <a:blip r:embed="rId156"/>
                          <a:stretch>
                            <a:fillRect/>
                          </a:stretch>
                        </pic:blipFill>
                        <pic:spPr bwMode="auto">
                          <a:xfrm>
                            <a:off x="0" y="0"/>
                            <a:ext cx="5646420" cy="6886832"/>
                          </a:xfrm>
                          <a:prstGeom prst="rect">
                            <a:avLst/>
                          </a:prstGeom>
                          <a:noFill/>
                          <a:ln w="9525">
                            <a:noFill/>
                            <a:headEnd/>
                            <a:tailEnd/>
                          </a:ln>
                        </pic:spPr>
                      </pic:pic>
                    </a:graphicData>
                  </a:graphic>
                </wp:inline>
              </w:drawing>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Images"/>
          <w:p>
            <w:pPr>
              <w:pStyle w:val="Compact"/>
              <w:jc w:val="center"/>
            </w:pPr>
            <w:r>
              <w:drawing>
                <wp:inline>
                  <wp:extent cx="5401056" cy="3444240"/>
                  <wp:effectExtent b="0" l="0" r="0" t="0"/>
                  <wp:docPr descr="" title="" id="161" name="Picture"/>
                  <a:graphic>
                    <a:graphicData uri="http://schemas.openxmlformats.org/drawingml/2006/picture">
                      <pic:pic>
                        <pic:nvPicPr>
                          <pic:cNvPr descr="Chapter2/Figs/Figure1.jpg" id="162" name="Picture"/>
                          <pic:cNvPicPr>
                            <a:picLocks noChangeArrowheads="1" noChangeAspect="1"/>
                          </pic:cNvPicPr>
                        </pic:nvPicPr>
                        <pic:blipFill>
                          <a:blip r:embed="rId16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Chlorophyceae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63"/>
        </w:tc>
      </w:tr>
    </w:tbl>
    <w:bookmarkEnd w:id="164"/>
    <w:bookmarkStart w:id="173" w:name="data-analysis"/>
    <w:p>
      <w:pPr>
        <w:pStyle w:val="Heading3"/>
      </w:pPr>
      <w:r>
        <w:t xml:space="preserve">2.2.2 Data Analysis</w:t>
      </w:r>
    </w:p>
    <w:bookmarkStart w:id="169"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8" w:name="fig-SpectraDegFIG"/>
          <w:p>
            <w:pPr>
              <w:pStyle w:val="Compact"/>
              <w:jc w:val="center"/>
            </w:pPr>
            <w:r>
              <w:drawing>
                <wp:inline>
                  <wp:extent cx="5646420" cy="5772811"/>
                  <wp:effectExtent b="0" l="0" r="0" t="0"/>
                  <wp:docPr descr="" title="" id="166" name="Picture"/>
                  <a:graphic>
                    <a:graphicData uri="http://schemas.openxmlformats.org/drawingml/2006/picture">
                      <pic:pic>
                        <pic:nvPicPr>
                          <pic:cNvPr descr="Chapter2/Figs/Figure3_Bede.jpg" id="167" name="Picture"/>
                          <pic:cNvPicPr>
                            <a:picLocks noChangeArrowheads="1" noChangeAspect="1"/>
                          </pic:cNvPicPr>
                        </pic:nvPicPr>
                        <pic:blipFill>
                          <a:blip r:embed="rId165"/>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8"/>
        </w:tc>
      </w:tr>
    </w:tbl>
    <w:bookmarkEnd w:id="169"/>
    <w:bookmarkStart w:id="171"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70" w:name="eq-stdspectra"/>
      <m:oMathPara>
        <m:oMathParaPr>
          <m:jc m:val="center"/>
        </m:oMathParaPr>
        <m:oMath>
          <m:sSubSup>
            <m:e>
              <m:r>
                <m:t>R</m:t>
              </m:r>
            </m:e>
            <m:sub>
              <m:r>
                <m:t>i</m:t>
              </m:r>
            </m:sub>
            <m:sup>
              <m:r>
                <m:rPr>
                  <m:sty m:val="p"/>
                </m:rPr>
                <m:t>*</m:t>
              </m:r>
            </m:sup>
          </m:sSubSup>
          <m:d>
            <m:dPr>
              <m:begChr m:val="("/>
              <m:sepChr m:val=""/>
              <m:endChr m:val=")"/>
              <m:grow/>
            </m:dPr>
            <m:e>
              <m:r>
                <m:t>λ</m:t>
              </m:r>
            </m:e>
          </m:d>
          <m:r>
            <m:rPr>
              <m:sty m:val="p"/>
            </m:rPr>
            <m:t>=</m:t>
          </m:r>
          <m:f>
            <m:fPr>
              <m:type m:val="bar"/>
            </m:fPr>
            <m:num>
              <m:sSub>
                <m:e>
                  <m:r>
                    <m:t>R</m:t>
                  </m:r>
                </m:e>
                <m:sub>
                  <m:r>
                    <m:t>i</m:t>
                  </m:r>
                </m:sub>
              </m:sSub>
              <m:d>
                <m:dPr>
                  <m:begChr m:val="("/>
                  <m:sepChr m:val=""/>
                  <m:endChr m:val=")"/>
                  <m:grow/>
                </m:dPr>
                <m:e>
                  <m:r>
                    <m:t>λ</m:t>
                  </m:r>
                </m:e>
              </m:d>
              <m:r>
                <m:rPr>
                  <m:sty m:val="p"/>
                </m:rPr>
                <m:t>−</m:t>
              </m:r>
              <m:r>
                <m:t>m</m:t>
              </m:r>
              <m:r>
                <m:t>i</m:t>
              </m:r>
              <m:r>
                <m:t>n</m:t>
              </m:r>
              <m:d>
                <m:dPr>
                  <m:begChr m:val="("/>
                  <m:sepChr m:val=""/>
                  <m:endChr m:val=")"/>
                  <m:grow/>
                </m:dPr>
                <m:e>
                  <m:sSub>
                    <m:e>
                      <m:r>
                        <m:t>R</m:t>
                      </m:r>
                    </m:e>
                    <m:sub>
                      <m:r>
                        <m:t>i</m:t>
                      </m:r>
                    </m:sub>
                  </m:sSub>
                </m:e>
              </m:d>
            </m:num>
            <m:den>
              <m:r>
                <m:t>m</m:t>
              </m:r>
              <m:r>
                <m:t>a</m:t>
              </m:r>
              <m:r>
                <m:t>x</m:t>
              </m:r>
              <m:d>
                <m:dPr>
                  <m:begChr m:val="("/>
                  <m:sepChr m:val=""/>
                  <m:endChr m:val=")"/>
                  <m:grow/>
                </m:dPr>
                <m:e>
                  <m:sSub>
                    <m:e>
                      <m:r>
                        <m:t>R</m:t>
                      </m:r>
                    </m:e>
                    <m:sub>
                      <m:r>
                        <m:t>i</m:t>
                      </m:r>
                    </m:sub>
                  </m:sSub>
                </m:e>
              </m:d>
              <m:r>
                <m:rPr>
                  <m:sty m:val="p"/>
                </m:rPr>
                <m:t>−</m:t>
              </m:r>
              <m:r>
                <m:t>m</m:t>
              </m:r>
              <m:r>
                <m:t>i</m:t>
              </m:r>
              <m:r>
                <m:t>n</m:t>
              </m:r>
              <m:d>
                <m:dPr>
                  <m:begChr m:val="("/>
                  <m:sepChr m:val=""/>
                  <m:endChr m:val=")"/>
                  <m:grow/>
                </m:dPr>
                <m:e>
                  <m:sSub>
                    <m:e>
                      <m:r>
                        <m:t>R</m:t>
                      </m:r>
                    </m:e>
                    <m:sub>
                      <m:r>
                        <m:t>i</m:t>
                      </m:r>
                    </m:sub>
                  </m:sSub>
                </m:e>
              </m:d>
            </m:den>
          </m:f>
          <m:r>
            <m:t>  </m:t>
          </m:r>
          <m:d>
            <m:dPr>
              <m:begChr m:val="("/>
              <m:sepChr m:val=""/>
              <m:endChr m:val=")"/>
              <m:grow/>
            </m:dPr>
            <m:e>
              <m:r>
                <m:t>2.1</m:t>
              </m:r>
            </m:e>
          </m:d>
        </m:oMath>
      </m:oMathPara>
      <w:bookmarkEnd w:id="170"/>
    </w:p>
    <w:p>
      <w:pPr>
        <w:pStyle w:val="FirstParagraph"/>
      </w:pPr>
      <w:r>
        <w:t xml:space="preserve">where</w:t>
      </w:r>
      <w:r>
        <w:t xml:space="preserve"> </w:t>
      </w:r>
      <m:oMath>
        <m:sSub>
          <m:e>
            <m:r>
              <m:t>R</m:t>
            </m:r>
          </m:e>
          <m:sub>
            <m:r>
              <m:t>i</m:t>
            </m:r>
          </m:sub>
        </m:sSub>
        <m:d>
          <m:dPr>
            <m:begChr m:val="("/>
            <m:sepChr m:val=""/>
            <m:end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71"/>
    <w:bookmarkStart w:id="172"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Chlorophyceae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2"/>
    <w:bookmarkEnd w:id="173"/>
    <w:bookmarkEnd w:id="174"/>
    <w:bookmarkStart w:id="207" w:name="results"/>
    <w:p>
      <w:pPr>
        <w:pStyle w:val="Heading2"/>
      </w:pPr>
      <w:r>
        <w:t xml:space="preserve">2.3 Results</w:t>
      </w:r>
    </w:p>
    <w:bookmarkStart w:id="179"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Chlorophyceae,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Chlorophyceae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8" w:name="fig-SpectraFIG"/>
          <w:p>
            <w:pPr>
              <w:pStyle w:val="Compact"/>
              <w:jc w:val="center"/>
            </w:pPr>
            <w:r>
              <w:drawing>
                <wp:inline>
                  <wp:extent cx="5646420" cy="5598319"/>
                  <wp:effectExtent b="0" l="0" r="0" t="0"/>
                  <wp:docPr descr="" title="" id="176" name="Picture"/>
                  <a:graphic>
                    <a:graphicData uri="http://schemas.openxmlformats.org/drawingml/2006/picture">
                      <pic:pic>
                        <pic:nvPicPr>
                          <pic:cNvPr descr="Chapter2/Figs/Figure4_Bede.jpg" id="177" name="Picture"/>
                          <pic:cNvPicPr>
                            <a:picLocks noChangeArrowheads="1" noChangeAspect="1"/>
                          </pic:cNvPicPr>
                        </pic:nvPicPr>
                        <pic:blipFill>
                          <a:blip r:embed="rId175"/>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8"/>
        </w:tc>
      </w:tr>
    </w:tbl>
    <w:bookmarkEnd w:id="179"/>
    <w:bookmarkStart w:id="184"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Chlorophyceae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R = 0.615 &amp; p = 0.001), while Pleiades and Sentinel-2 at 10 m were far lower (Pleiades: R = 0.49 &amp; p = 0.001 &amp; Sentinel-2 at 10 m: R = 0.462 &amp; p = 0.001). Strong overlaps were observed between the classes Magnioliopsida and Chlorophyceae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3" w:name="fig-MDSFIG"/>
          <w:p>
            <w:pPr>
              <w:pStyle w:val="Compact"/>
              <w:jc w:val="center"/>
            </w:pPr>
            <w:r>
              <w:drawing>
                <wp:inline>
                  <wp:extent cx="5646420" cy="5614362"/>
                  <wp:effectExtent b="0" l="0" r="0" t="0"/>
                  <wp:docPr descr="" title="" id="181" name="Picture"/>
                  <a:graphic>
                    <a:graphicData uri="http://schemas.openxmlformats.org/drawingml/2006/picture">
                      <pic:pic>
                        <pic:nvPicPr>
                          <pic:cNvPr descr="Chapter2/Figs/Figure5_Bede.jpg" id="182" name="Picture"/>
                          <pic:cNvPicPr>
                            <a:picLocks noChangeArrowheads="1" noChangeAspect="1"/>
                          </pic:cNvPicPr>
                        </pic:nvPicPr>
                        <pic:blipFill>
                          <a:blip r:embed="rId180"/>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3"/>
        </w:tc>
      </w:tr>
    </w:tbl>
    <w:bookmarkEnd w:id="184"/>
    <w:bookmarkStart w:id="201"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w:t>
      </w:r>
    </w:p>
    <w:tbl>
      <w:tblPr>
        <w:tblStyle w:val="Table"/>
        <w:tblW w:type="pct" w:w="5000"/>
        <w:tblLayout w:type="fixed"/>
        <w:tblLook w:firstRow="0" w:lastRow="0" w:firstColumn="0" w:lastColumn="0" w:noHBand="0" w:noVBand="0" w:val="0000"/>
      </w:tblPr>
      <w:tblGrid>
        <w:gridCol w:w="7920"/>
      </w:tblGrid>
      <w:tr>
        <w:tc>
          <w:tcPr/>
          <w:bookmarkStart w:id="188" w:name="fig-MetricsFIG"/>
          <w:p>
            <w:pPr>
              <w:pStyle w:val="Compact"/>
              <w:jc w:val="center"/>
            </w:pPr>
            <w:r>
              <w:drawing>
                <wp:inline>
                  <wp:extent cx="5646420" cy="5616787"/>
                  <wp:effectExtent b="0" l="0" r="0" t="0"/>
                  <wp:docPr descr="" title="" id="186" name="Picture"/>
                  <a:graphic>
                    <a:graphicData uri="http://schemas.openxmlformats.org/drawingml/2006/picture">
                      <pic:pic>
                        <pic:nvPicPr>
                          <pic:cNvPr descr="Chapter2/Figs/Figure6_Bede.jpg" id="187" name="Picture"/>
                          <pic:cNvPicPr>
                            <a:picLocks noChangeArrowheads="1" noChangeAspect="1"/>
                          </pic:cNvPicPr>
                        </pic:nvPicPr>
                        <pic:blipFill>
                          <a:blip r:embed="rId185"/>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8"/>
        </w:tc>
      </w:tr>
    </w:tbl>
    <w:tbl>
      <w:tblPr>
        <w:tblStyle w:val="Table"/>
        <w:tblW w:type="pct" w:w="5000"/>
        <w:tblLayout w:type="fixed"/>
        <w:tblLook w:firstRow="0" w:lastRow="0" w:firstColumn="0" w:lastColumn="0" w:noHBand="0" w:noVBand="0" w:val="0000"/>
      </w:tblPr>
      <w:tblGrid>
        <w:gridCol w:w="7920"/>
      </w:tblGrid>
      <w:tr>
        <w:tc>
          <w:tcPr/>
          <w:bookmarkStart w:id="192"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90" name="Picture"/>
                  <a:graphic>
                    <a:graphicData uri="http://schemas.openxmlformats.org/drawingml/2006/picture">
                      <pic:pic>
                        <pic:nvPicPr>
                          <pic:cNvPr descr="Chapter2/Figs/metricsTable.png" id="191" name="Picture"/>
                          <pic:cNvPicPr>
                            <a:picLocks noChangeArrowheads="1" noChangeAspect="1"/>
                          </pic:cNvPicPr>
                        </pic:nvPicPr>
                        <pic:blipFill>
                          <a:blip r:embed="rId189"/>
                          <a:stretch>
                            <a:fillRect/>
                          </a:stretch>
                        </pic:blipFill>
                        <pic:spPr bwMode="auto">
                          <a:xfrm>
                            <a:off x="0" y="0"/>
                            <a:ext cx="5646420" cy="1870321"/>
                          </a:xfrm>
                          <a:prstGeom prst="rect">
                            <a:avLst/>
                          </a:prstGeom>
                          <a:noFill/>
                          <a:ln w="9525">
                            <a:noFill/>
                            <a:headEnd/>
                            <a:tailEnd/>
                          </a:ln>
                        </pic:spPr>
                      </pic:pic>
                    </a:graphicData>
                  </a:graphic>
                </wp:inline>
              </w:drawing>
            </w:r>
          </w:p>
          <w:bookmarkEnd w:id="192"/>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6" w:name="fig-VIPFIG"/>
          <w:p>
            <w:pPr>
              <w:pStyle w:val="Compact"/>
              <w:jc w:val="center"/>
            </w:pPr>
            <w:r>
              <w:drawing>
                <wp:inline>
                  <wp:extent cx="5646420" cy="5571597"/>
                  <wp:effectExtent b="0" l="0" r="0" t="0"/>
                  <wp:docPr descr="" title="" id="194" name="Picture"/>
                  <a:graphic>
                    <a:graphicData uri="http://schemas.openxmlformats.org/drawingml/2006/picture">
                      <pic:pic>
                        <pic:nvPicPr>
                          <pic:cNvPr descr="Chapter2/Figs/Figure7_Bede.jpg" id="195" name="Picture"/>
                          <pic:cNvPicPr>
                            <a:picLocks noChangeArrowheads="1" noChangeAspect="1"/>
                          </pic:cNvPicPr>
                        </pic:nvPicPr>
                        <pic:blipFill>
                          <a:blip r:embed="rId193"/>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6"/>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w:t>
      </w:r>
      <w:hyperlink w:anchor="fig-VIPFunction">
        <w:r>
          <w:rPr>
            <w:rStyle w:val="Hyperlink"/>
          </w:rPr>
          <w:t xml:space="preserve">Figure 2.8</w:t>
        </w:r>
      </w:hyperlink>
      <w:r>
        <w:t xml:space="preserve">). The Drone and Pleiades sensors effectively sampled the top of the peak in importance from 517 to 556 nm, while Sentinel-2 (10 m and 20 m) only sampled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200" w:name="fig-VIPFunction"/>
          <w:p>
            <w:pPr>
              <w:pStyle w:val="Compact"/>
              <w:jc w:val="center"/>
            </w:pPr>
            <w:r>
              <w:drawing>
                <wp:inline>
                  <wp:extent cx="5646420" cy="5595743"/>
                  <wp:effectExtent b="0" l="0" r="0" t="0"/>
                  <wp:docPr descr="" title="" id="198" name="Picture"/>
                  <a:graphic>
                    <a:graphicData uri="http://schemas.openxmlformats.org/drawingml/2006/picture">
                      <pic:pic>
                        <pic:nvPicPr>
                          <pic:cNvPr descr="Chapter2/Figs/Figure8_Bede.jpg" id="199" name="Picture"/>
                          <pic:cNvPicPr>
                            <a:picLocks noChangeArrowheads="1" noChangeAspect="1"/>
                          </pic:cNvPicPr>
                        </pic:nvPicPr>
                        <pic:blipFill>
                          <a:blip r:embed="rId197"/>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200"/>
        </w:tc>
      </w:tr>
    </w:tbl>
    <w:bookmarkEnd w:id="201"/>
    <w:bookmarkStart w:id="206"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Chlorophyceae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Chlorophyceae. A few Bacilliariophyceae and Chlorophyceae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5" w:name="fig-ConfMatFIG"/>
          <w:p>
            <w:pPr>
              <w:pStyle w:val="Compact"/>
              <w:jc w:val="center"/>
            </w:pPr>
            <w:r>
              <w:drawing>
                <wp:inline>
                  <wp:extent cx="5646420" cy="5627499"/>
                  <wp:effectExtent b="0" l="0" r="0" t="0"/>
                  <wp:docPr descr="" title="" id="203" name="Picture"/>
                  <a:graphic>
                    <a:graphicData uri="http://schemas.openxmlformats.org/drawingml/2006/picture">
                      <pic:pic>
                        <pic:nvPicPr>
                          <pic:cNvPr descr="Chapter2/Figs/Figure9_Bede.jpg" id="204" name="Picture"/>
                          <pic:cNvPicPr>
                            <a:picLocks noChangeArrowheads="1" noChangeAspect="1"/>
                          </pic:cNvPicPr>
                        </pic:nvPicPr>
                        <pic:blipFill>
                          <a:blip r:embed="rId202"/>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Chlorophyceae as Ulv. Labels with numbers show within class sensitivity and specificity.</w:t>
            </w:r>
          </w:p>
          <w:bookmarkEnd w:id="205"/>
        </w:tc>
      </w:tr>
    </w:tbl>
    <w:bookmarkEnd w:id="206"/>
    <w:bookmarkEnd w:id="207"/>
    <w:bookmarkStart w:id="217" w:name="discussion"/>
    <w:p>
      <w:pPr>
        <w:pStyle w:val="Heading2"/>
      </w:pPr>
      <w:r>
        <w:t xml:space="preserve">2.4 Discussion</w:t>
      </w:r>
    </w:p>
    <w:bookmarkStart w:id="208"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8"/>
    <w:bookmarkStart w:id="213"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Chlorophyceae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2"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10" name="Picture"/>
                  <a:graphic>
                    <a:graphicData uri="http://schemas.openxmlformats.org/drawingml/2006/picture">
                      <pic:pic>
                        <pic:nvPicPr>
                          <pic:cNvPr descr="Chapter2/Figs/pigmentTable.png" id="211" name="Picture"/>
                          <pic:cNvPicPr>
                            <a:picLocks noChangeArrowheads="1" noChangeAspect="1"/>
                          </pic:cNvPicPr>
                        </pic:nvPicPr>
                        <pic:blipFill>
                          <a:blip r:embed="rId209"/>
                          <a:stretch>
                            <a:fillRect/>
                          </a:stretch>
                        </pic:blipFill>
                        <pic:spPr bwMode="auto">
                          <a:xfrm>
                            <a:off x="0" y="0"/>
                            <a:ext cx="5646420" cy="2502498"/>
                          </a:xfrm>
                          <a:prstGeom prst="rect">
                            <a:avLst/>
                          </a:prstGeom>
                          <a:noFill/>
                          <a:ln w="9525">
                            <a:noFill/>
                            <a:headEnd/>
                            <a:tailEnd/>
                          </a:ln>
                        </pic:spPr>
                      </pic:pic>
                    </a:graphicData>
                  </a:graphic>
                </wp:inline>
              </w:drawing>
            </w:r>
          </w:p>
          <w:bookmarkEnd w:id="212"/>
        </w:tc>
      </w:tr>
    </w:tbl>
    <w:bookmarkEnd w:id="213"/>
    <w:bookmarkStart w:id="214"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4"/>
    <w:bookmarkStart w:id="215"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5"/>
    <w:bookmarkStart w:id="216"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Chlorophyceae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6"/>
    <w:bookmarkEnd w:id="217"/>
    <w:bookmarkEnd w:id="218"/>
    <w:bookmarkStart w:id="311" w:name="X27e1cd8292c123eed0e7ee2bdbf2cbaf1b8c277"/>
    <w:p>
      <w:pPr>
        <w:pStyle w:val="Heading1"/>
      </w:pPr>
      <w:r>
        <w:t xml:space="preserve">3. Discriminating Seagrasses from Green Macroalgae in European Intertidal Areas Using High-Resolution Multispectral Drone Imagery</w:t>
      </w:r>
    </w:p>
    <w:bookmarkStart w:id="219"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ultra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ultra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ultra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9"/>
    <w:bookmarkStart w:id="220"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ultra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machine learning algorithm was trained and validated for macrophyte discrimination, emphasizing applicability across diverse sites without losing prediction accuracy. The classification maps obtained at a ultra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20"/>
    <w:bookmarkStart w:id="253" w:name="materials-methods"/>
    <w:p>
      <w:pPr>
        <w:pStyle w:val="Heading2"/>
      </w:pPr>
      <w:r>
        <w:t xml:space="preserve">3.2 Materials &amp; Methods</w:t>
      </w:r>
    </w:p>
    <w:bookmarkStart w:id="225"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4" w:name="fig-map"/>
          <w:p>
            <w:pPr>
              <w:pStyle w:val="Compact"/>
              <w:jc w:val="center"/>
            </w:pPr>
            <w:r>
              <w:drawing>
                <wp:inline>
                  <wp:extent cx="5646420" cy="5646420"/>
                  <wp:effectExtent b="0" l="0" r="0" t="0"/>
                  <wp:docPr descr="" title="" id="222" name="Picture"/>
                  <a:graphic>
                    <a:graphicData uri="http://schemas.openxmlformats.org/drawingml/2006/picture">
                      <pic:pic>
                        <pic:nvPicPr>
                          <pic:cNvPr descr="Chapter3/Figs/Figure1.png" id="223" name="Picture"/>
                          <pic:cNvPicPr>
                            <a:picLocks noChangeArrowheads="1" noChangeAspect="1"/>
                          </pic:cNvPicPr>
                        </pic:nvPicPr>
                        <pic:blipFill>
                          <a:blip r:embed="rId22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4"/>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5"/>
    <w:bookmarkStart w:id="236" w:name="field-sampling"/>
    <w:p>
      <w:pPr>
        <w:pStyle w:val="Heading3"/>
      </w:pPr>
      <w:r>
        <w:t xml:space="preserve">3.2.2 Field sampling</w:t>
      </w:r>
    </w:p>
    <w:bookmarkStart w:id="230"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9"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7" name="Picture"/>
                  <a:graphic>
                    <a:graphicData uri="http://schemas.openxmlformats.org/drawingml/2006/picture">
                      <pic:pic>
                        <pic:nvPicPr>
                          <pic:cNvPr descr="Chapter3/Figs/Table1.png" id="228" name="Picture"/>
                          <pic:cNvPicPr>
                            <a:picLocks noChangeArrowheads="1" noChangeAspect="1"/>
                          </pic:cNvPicPr>
                        </pic:nvPicPr>
                        <pic:blipFill>
                          <a:blip r:embed="rId226"/>
                          <a:stretch>
                            <a:fillRect/>
                          </a:stretch>
                        </pic:blipFill>
                        <pic:spPr bwMode="auto">
                          <a:xfrm>
                            <a:off x="0" y="0"/>
                            <a:ext cx="5646420" cy="2477358"/>
                          </a:xfrm>
                          <a:prstGeom prst="rect">
                            <a:avLst/>
                          </a:prstGeom>
                          <a:noFill/>
                          <a:ln w="9525">
                            <a:noFill/>
                            <a:headEnd/>
                            <a:tailEnd/>
                          </a:ln>
                        </pic:spPr>
                      </pic:pic>
                    </a:graphicData>
                  </a:graphic>
                </wp:inline>
              </w:drawing>
            </w:r>
          </w:p>
          <w:bookmarkEnd w:id="229"/>
        </w:tc>
      </w:tr>
    </w:tbl>
    <w:bookmarkEnd w:id="230"/>
    <w:bookmarkStart w:id="235"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GNSS. Ground control points were used to correct georeferencing imprecision of orthomosaics with a horizontal and vertical accuracy of 10cm. A GNSS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4" w:name="fig-vegetation"/>
          <w:p>
            <w:pPr>
              <w:pStyle w:val="Compact"/>
              <w:jc w:val="center"/>
            </w:pPr>
            <w:r>
              <w:drawing>
                <wp:inline>
                  <wp:extent cx="5646420" cy="3952494"/>
                  <wp:effectExtent b="0" l="0" r="0" t="0"/>
                  <wp:docPr descr="" title="" id="232" name="Picture"/>
                  <a:graphic>
                    <a:graphicData uri="http://schemas.openxmlformats.org/drawingml/2006/picture">
                      <pic:pic>
                        <pic:nvPicPr>
                          <pic:cNvPr descr="Chapter3/Figs/Figure2.png" id="233" name="Picture"/>
                          <pic:cNvPicPr>
                            <a:picLocks noChangeArrowheads="1" noChangeAspect="1"/>
                          </pic:cNvPicPr>
                        </pic:nvPicPr>
                        <pic:blipFill>
                          <a:blip r:embed="rId231"/>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4"/>
        </w:tc>
      </w:tr>
    </w:tbl>
    <w:bookmarkEnd w:id="235"/>
    <w:bookmarkEnd w:id="236"/>
    <w:bookmarkStart w:id="237"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tie points were detected inside each image and between overlapping images in order to obtain a sparse point cloud. This cloud was cleaned using a reprojection accuracy metric to remove noisy points. Ground Control Points (GCPs) were acquired in the field using georeferenced targets and were then manually identified in the corresponding images to improve the georeferencing accuracy of the model.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ultra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7"/>
    <w:bookmarkStart w:id="249"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machine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workflow"/>
          <w:p>
            <w:pPr>
              <w:pStyle w:val="Compact"/>
              <w:jc w:val="center"/>
            </w:pPr>
            <w:r>
              <w:drawing>
                <wp:inline>
                  <wp:extent cx="5646420" cy="5098189"/>
                  <wp:effectExtent b="0" l="0" r="0" t="0"/>
                  <wp:docPr descr="" title="" id="239" name="Picture"/>
                  <a:graphic>
                    <a:graphicData uri="http://schemas.openxmlformats.org/drawingml/2006/picture">
                      <pic:pic>
                        <pic:nvPicPr>
                          <pic:cNvPr descr="Chapter3/Figs/Figure3.png" id="240" name="Picture"/>
                          <pic:cNvPicPr>
                            <a:picLocks noChangeArrowheads="1" noChangeAspect="1"/>
                          </pic:cNvPicPr>
                        </pic:nvPicPr>
                        <pic:blipFill>
                          <a:blip r:embed="rId238"/>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41"/>
        </w:tc>
      </w:tr>
    </w:tbl>
    <w:bookmarkStart w:id="246"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5"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3" name="Picture"/>
                  <a:graphic>
                    <a:graphicData uri="http://schemas.openxmlformats.org/drawingml/2006/picture">
                      <pic:pic>
                        <pic:nvPicPr>
                          <pic:cNvPr descr="Chapter3/Figs/Table2.png" id="244" name="Picture"/>
                          <pic:cNvPicPr>
                            <a:picLocks noChangeArrowheads="1" noChangeAspect="1"/>
                          </pic:cNvPicPr>
                        </pic:nvPicPr>
                        <pic:blipFill>
                          <a:blip r:embed="rId242"/>
                          <a:stretch>
                            <a:fillRect/>
                          </a:stretch>
                        </pic:blipFill>
                        <pic:spPr bwMode="auto">
                          <a:xfrm>
                            <a:off x="0" y="0"/>
                            <a:ext cx="5646420" cy="2011714"/>
                          </a:xfrm>
                          <a:prstGeom prst="rect">
                            <a:avLst/>
                          </a:prstGeom>
                          <a:noFill/>
                          <a:ln w="9525">
                            <a:noFill/>
                            <a:headEnd/>
                            <a:tailEnd/>
                          </a:ln>
                        </pic:spPr>
                      </pic:pic>
                    </a:graphicData>
                  </a:graphic>
                </wp:inline>
              </w:drawing>
            </w:r>
          </w:p>
          <w:bookmarkEnd w:id="245"/>
        </w:tc>
      </w:tr>
    </w:tbl>
    <w:p>
      <w:pPr>
        <w:pStyle w:val="BodyText"/>
      </w:pPr>
      <w:r>
        <w:t xml:space="preserve">A dataset containing photo-interpreted drone reflectance pixels was built to train a shallow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6"/>
    <w:bookmarkStart w:id="247" w:name="model-building"/>
    <w:p>
      <w:pPr>
        <w:pStyle w:val="Heading4"/>
      </w:pPr>
      <w:r>
        <w:t xml:space="preserve">3.2.4.2 Model building</w:t>
      </w:r>
    </w:p>
    <w:p>
      <w:pPr>
        <w:pStyle w:val="FirstParagraph"/>
      </w:pPr>
      <w:r>
        <w:t xml:space="preserve">A shallow neural network classification model was built using the fastai workflow</w:t>
      </w:r>
      <w:r>
        <w:t xml:space="preserve"> </w:t>
      </w:r>
      <w:r>
        <w:t xml:space="preserve">(Howard et al., 2018)</w:t>
      </w:r>
      <w:r>
        <w:t xml:space="preserve">. This model was composed of 4 hidden layers and has a total of 26 054 trainable parameters. Parameters have been fine-tuned using 12 epoch to minimize the error rate. This model has been called DISCOV, standing for Drone Intertidal Substrate Classification Of Vegetation.</w:t>
      </w:r>
    </w:p>
    <w:bookmarkEnd w:id="247"/>
    <w:bookmarkStart w:id="248"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sepChr m:val=""/>
                      <m:end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8"/>
    <w:bookmarkEnd w:id="249"/>
    <w:bookmarkStart w:id="250"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50"/>
    <w:bookmarkStart w:id="251"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51"/>
    <w:bookmarkStart w:id="252"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2"/>
    <w:bookmarkEnd w:id="253"/>
    <w:bookmarkStart w:id="296" w:name="results-1"/>
    <w:p>
      <w:pPr>
        <w:pStyle w:val="Heading2"/>
      </w:pPr>
      <w:r>
        <w:t xml:space="preserve">3.3 Results</w:t>
      </w:r>
    </w:p>
    <w:bookmarkStart w:id="258"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7" w:name="fig-CompareRef"/>
          <w:p>
            <w:pPr>
              <w:pStyle w:val="Compact"/>
              <w:jc w:val="center"/>
            </w:pPr>
            <w:r>
              <w:drawing>
                <wp:inline>
                  <wp:extent cx="5646420" cy="2426196"/>
                  <wp:effectExtent b="0" l="0" r="0" t="0"/>
                  <wp:docPr descr="" title="" id="255" name="Picture"/>
                  <a:graphic>
                    <a:graphicData uri="http://schemas.openxmlformats.org/drawingml/2006/picture">
                      <pic:pic>
                        <pic:nvPicPr>
                          <pic:cNvPr descr="Chapter3/Figs/Figure4.png" id="256" name="Picture"/>
                          <pic:cNvPicPr>
                            <a:picLocks noChangeArrowheads="1" noChangeAspect="1"/>
                          </pic:cNvPicPr>
                        </pic:nvPicPr>
                        <pic:blipFill>
                          <a:blip r:embed="rId254"/>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7"/>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8"/>
    <w:bookmarkStart w:id="275"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2" w:name="fig-GafLow"/>
          <w:p>
            <w:pPr>
              <w:pStyle w:val="Compact"/>
              <w:jc w:val="center"/>
            </w:pPr>
            <w:r>
              <w:drawing>
                <wp:inline>
                  <wp:extent cx="5646420" cy="10606787"/>
                  <wp:effectExtent b="0" l="0" r="0" t="0"/>
                  <wp:docPr descr="" title="" id="260" name="Picture"/>
                  <a:graphic>
                    <a:graphicData uri="http://schemas.openxmlformats.org/drawingml/2006/picture">
                      <pic:pic>
                        <pic:nvPicPr>
                          <pic:cNvPr descr="Chapter3/Figs/Figure5.png" id="261" name="Picture"/>
                          <pic:cNvPicPr>
                            <a:picLocks noChangeArrowheads="1" noChangeAspect="1"/>
                          </pic:cNvPicPr>
                        </pic:nvPicPr>
                        <pic:blipFill>
                          <a:blip r:embed="rId259"/>
                          <a:stretch>
                            <a:fillRect/>
                          </a:stretch>
                        </pic:blipFill>
                        <pic:spPr bwMode="auto">
                          <a:xfrm>
                            <a:off x="0" y="0"/>
                            <a:ext cx="5646420" cy="1060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 EPSG: 32629.</w:t>
            </w:r>
          </w:p>
          <w:bookmarkEnd w:id="262"/>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6" w:name="fig-GafHigh"/>
          <w:p>
            <w:pPr>
              <w:pStyle w:val="Compact"/>
              <w:jc w:val="center"/>
            </w:pPr>
            <w:r>
              <w:drawing>
                <wp:inline>
                  <wp:extent cx="5646420" cy="4800778"/>
                  <wp:effectExtent b="0" l="0" r="0" t="0"/>
                  <wp:docPr descr="" title="" id="264" name="Picture"/>
                  <a:graphic>
                    <a:graphicData uri="http://schemas.openxmlformats.org/drawingml/2006/picture">
                      <pic:pic>
                        <pic:nvPicPr>
                          <pic:cNvPr descr="Chapter3/Figs/Figure6.png" id="265" name="Picture"/>
                          <pic:cNvPicPr>
                            <a:picLocks noChangeArrowheads="1" noChangeAspect="1"/>
                          </pic:cNvPicPr>
                        </pic:nvPicPr>
                        <pic:blipFill>
                          <a:blip r:embed="rId263"/>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 EPSG: 32629.</w:t>
            </w:r>
          </w:p>
          <w:bookmarkEnd w:id="266"/>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70" w:name="fig-Boat"/>
          <w:p>
            <w:pPr>
              <w:pStyle w:val="Compact"/>
              <w:jc w:val="center"/>
            </w:pPr>
            <w:r>
              <w:drawing>
                <wp:inline>
                  <wp:extent cx="5646420" cy="7129639"/>
                  <wp:effectExtent b="0" l="0" r="0" t="0"/>
                  <wp:docPr descr="" title="" id="268" name="Picture"/>
                  <a:graphic>
                    <a:graphicData uri="http://schemas.openxmlformats.org/drawingml/2006/picture">
                      <pic:pic>
                        <pic:nvPicPr>
                          <pic:cNvPr descr="Chapter3/Figs/Figure7.png" id="269" name="Picture"/>
                          <pic:cNvPicPr>
                            <a:picLocks noChangeArrowheads="1" noChangeAspect="1"/>
                          </pic:cNvPicPr>
                        </pic:nvPicPr>
                        <pic:blipFill>
                          <a:blip r:embed="rId267"/>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 EPSG: 32629.</w:t>
            </w:r>
          </w:p>
          <w:bookmarkEnd w:id="270"/>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4" w:name="fig-Dike"/>
          <w:p>
            <w:pPr>
              <w:pStyle w:val="Compact"/>
              <w:jc w:val="center"/>
            </w:pPr>
            <w:r>
              <w:drawing>
                <wp:inline>
                  <wp:extent cx="5646420" cy="4714079"/>
                  <wp:effectExtent b="0" l="0" r="0" t="0"/>
                  <wp:docPr descr="" title="" id="272" name="Picture"/>
                  <a:graphic>
                    <a:graphicData uri="http://schemas.openxmlformats.org/drawingml/2006/picture">
                      <pic:pic>
                        <pic:nvPicPr>
                          <pic:cNvPr descr="Chapter3/Figs/Figure8.png" id="273" name="Picture"/>
                          <pic:cNvPicPr>
                            <a:picLocks noChangeArrowheads="1" noChangeAspect="1"/>
                          </pic:cNvPicPr>
                        </pic:nvPicPr>
                        <pic:blipFill>
                          <a:blip r:embed="rId271"/>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 EPSG: 32630.</w:t>
            </w:r>
          </w:p>
          <w:bookmarkEnd w:id="274"/>
        </w:tc>
      </w:tr>
    </w:tbl>
    <w:bookmarkEnd w:id="275"/>
    <w:bookmarkStart w:id="280"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9" w:name="fig-Validation"/>
          <w:p>
            <w:pPr>
              <w:pStyle w:val="Compact"/>
              <w:jc w:val="center"/>
            </w:pPr>
            <w:r>
              <w:drawing>
                <wp:inline>
                  <wp:extent cx="5646420" cy="3781151"/>
                  <wp:effectExtent b="0" l="0" r="0" t="0"/>
                  <wp:docPr descr="" title="" id="277" name="Picture"/>
                  <a:graphic>
                    <a:graphicData uri="http://schemas.openxmlformats.org/drawingml/2006/picture">
                      <pic:pic>
                        <pic:nvPicPr>
                          <pic:cNvPr descr="Chapter3/Figs/Figure9.png" id="278" name="Picture"/>
                          <pic:cNvPicPr>
                            <a:picLocks noChangeArrowheads="1" noChangeAspect="1"/>
                          </pic:cNvPicPr>
                        </pic:nvPicPr>
                        <pic:blipFill>
                          <a:blip r:embed="rId276"/>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9"/>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80"/>
    <w:bookmarkStart w:id="285"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fig-VIP"/>
          <w:p>
            <w:pPr>
              <w:pStyle w:val="Compact"/>
              <w:jc w:val="center"/>
            </w:pPr>
            <w:r>
              <w:drawing>
                <wp:inline>
                  <wp:extent cx="5646420" cy="8794957"/>
                  <wp:effectExtent b="0" l="0" r="0" t="0"/>
                  <wp:docPr descr="" title="" id="282" name="Picture"/>
                  <a:graphic>
                    <a:graphicData uri="http://schemas.openxmlformats.org/drawingml/2006/picture">
                      <pic:pic>
                        <pic:nvPicPr>
                          <pic:cNvPr descr="Chapter3/Figs/Figure10.png" id="283" name="Picture"/>
                          <pic:cNvPicPr>
                            <a:picLocks noChangeArrowheads="1" noChangeAspect="1"/>
                          </pic:cNvPicPr>
                        </pic:nvPicPr>
                        <pic:blipFill>
                          <a:blip r:embed="rId281"/>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4"/>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5"/>
    <w:bookmarkStart w:id="290"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 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9" w:name="fig-pixelsize"/>
          <w:p>
            <w:pPr>
              <w:pStyle w:val="Compact"/>
              <w:jc w:val="center"/>
            </w:pPr>
            <w:r>
              <w:drawing>
                <wp:inline>
                  <wp:extent cx="5349240" cy="4312690"/>
                  <wp:effectExtent b="0" l="0" r="0" t="0"/>
                  <wp:docPr descr="" title="" id="287" name="Picture"/>
                  <a:graphic>
                    <a:graphicData uri="http://schemas.openxmlformats.org/drawingml/2006/picture">
                      <pic:pic>
                        <pic:nvPicPr>
                          <pic:cNvPr descr="Chapter3/Figs/Figure11.png" id="288" name="Picture"/>
                          <pic:cNvPicPr>
                            <a:picLocks noChangeArrowheads="1" noChangeAspect="1"/>
                          </pic:cNvPicPr>
                        </pic:nvPicPr>
                        <pic:blipFill>
                          <a:blip r:embed="rId286"/>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9"/>
        </w:tc>
      </w:tr>
    </w:tbl>
    <w:bookmarkEnd w:id="290"/>
    <w:bookmarkStart w:id="295" w:name="X7d8c98344fb9b0b2820ed333ea1419091199e0e"/>
    <w:p>
      <w:pPr>
        <w:pStyle w:val="Heading3"/>
      </w:pPr>
      <w:r>
        <w:t xml:space="preserve">3.3.6 Effect of the percent cover on the prediction</w:t>
      </w:r>
    </w:p>
    <w:p>
      <w:pPr>
        <w:pStyle w:val="FirstParagraph"/>
      </w:pPr>
      <w:r>
        <w:t xml:space="preserve">Using the ultra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4" w:name="fig-upscaling"/>
          <w:p>
            <w:pPr>
              <w:pStyle w:val="Compact"/>
              <w:jc w:val="center"/>
            </w:pPr>
            <w:r>
              <w:drawing>
                <wp:inline>
                  <wp:extent cx="5646420" cy="7578268"/>
                  <wp:effectExtent b="0" l="0" r="0" t="0"/>
                  <wp:docPr descr="" title="" id="292" name="Picture"/>
                  <a:graphic>
                    <a:graphicData uri="http://schemas.openxmlformats.org/drawingml/2006/picture">
                      <pic:pic>
                        <pic:nvPicPr>
                          <pic:cNvPr descr="Chapter3/Figs/Figure12.png" id="293" name="Picture"/>
                          <pic:cNvPicPr>
                            <a:picLocks noChangeArrowheads="1" noChangeAspect="1"/>
                          </pic:cNvPicPr>
                        </pic:nvPicPr>
                        <pic:blipFill>
                          <a:blip r:embed="rId291"/>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4"/>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5"/>
    <w:bookmarkEnd w:id="296"/>
    <w:bookmarkStart w:id="309" w:name="discussion-1"/>
    <w:p>
      <w:pPr>
        <w:pStyle w:val="Heading2"/>
      </w:pPr>
      <w:r>
        <w:t xml:space="preserve">3.4 Discussion</w:t>
      </w:r>
    </w:p>
    <w:bookmarkStart w:id="305"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ultra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300" w:name="fig-Pigm"/>
          <w:p>
            <w:pPr>
              <w:pStyle w:val="Compact"/>
              <w:jc w:val="center"/>
            </w:pPr>
            <w:r>
              <w:drawing>
                <wp:inline>
                  <wp:extent cx="5943600" cy="2877014"/>
                  <wp:effectExtent b="0" l="0" r="0" t="0"/>
                  <wp:docPr descr="" title="" id="298" name="Picture"/>
                  <a:graphic>
                    <a:graphicData uri="http://schemas.openxmlformats.org/drawingml/2006/picture">
                      <pic:pic>
                        <pic:nvPicPr>
                          <pic:cNvPr descr="Chapter3/Figs/Figure13.png" id="299" name="Picture"/>
                          <pic:cNvPicPr>
                            <a:picLocks noChangeArrowheads="1" noChangeAspect="1"/>
                          </pic:cNvPicPr>
                        </pic:nvPicPr>
                        <pic:blipFill>
                          <a:blip r:embed="rId297"/>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300"/>
        </w:tc>
      </w:tr>
    </w:tbl>
    <w:tbl>
      <w:tblPr>
        <w:tblStyle w:val="Table"/>
        <w:tblW w:type="pct" w:w="5000"/>
        <w:tblLayout w:type="fixed"/>
        <w:tblLook w:firstRow="0" w:lastRow="0" w:firstColumn="0" w:lastColumn="0" w:noHBand="0" w:noVBand="0" w:val="0000"/>
      </w:tblPr>
      <w:tblGrid>
        <w:gridCol w:w="7920"/>
      </w:tblGrid>
      <w:tr>
        <w:tc>
          <w:tcPr/>
          <w:bookmarkStart w:id="304" w:name="fig-ValidationGreen"/>
          <w:p>
            <w:pPr>
              <w:pStyle w:val="Compact"/>
              <w:jc w:val="center"/>
            </w:pPr>
            <w:r>
              <w:drawing>
                <wp:inline>
                  <wp:extent cx="2971800" cy="2121448"/>
                  <wp:effectExtent b="0" l="0" r="0" t="0"/>
                  <wp:docPr descr="" title="" id="302" name="Picture"/>
                  <a:graphic>
                    <a:graphicData uri="http://schemas.openxmlformats.org/drawingml/2006/picture">
                      <pic:pic>
                        <pic:nvPicPr>
                          <pic:cNvPr descr="Chapter3/Figs/Figure14.png" id="303" name="Picture"/>
                          <pic:cNvPicPr>
                            <a:picLocks noChangeArrowheads="1" noChangeAspect="1"/>
                          </pic:cNvPicPr>
                        </pic:nvPicPr>
                        <pic:blipFill>
                          <a:blip r:embed="rId301"/>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4"/>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5"/>
    <w:bookmarkStart w:id="306"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6"/>
    <w:bookmarkStart w:id="307"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Landsat-8/9,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Ultra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7"/>
    <w:bookmarkStart w:id="308"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 </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fishing,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ultra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8"/>
    <w:bookmarkEnd w:id="309"/>
    <w:bookmarkStart w:id="310" w:name="conclusion"/>
    <w:p>
      <w:pPr>
        <w:pStyle w:val="Heading2"/>
      </w:pPr>
      <w:r>
        <w:t xml:space="preserve">3.5 Conclusion</w:t>
      </w:r>
    </w:p>
    <w:p>
      <w:pPr>
        <w:pStyle w:val="FirstParagraph"/>
      </w:pPr>
      <w:r>
        <w:t xml:space="preserve">The utilization of ultra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531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10"/>
    <w:bookmarkEnd w:id="311"/>
    <w:bookmarkStart w:id="379"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2"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2"/>
    <w:bookmarkStart w:id="313"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ultra-high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ultra-high spatial resolution (centimeter) in intertidal estuaries of European Atlantic coast. We adapted a neural network classification model, Drone Intertidal Substrate Classification Of Vegetation</w:t>
      </w:r>
      <w:r>
        <w:t xml:space="preserve"> </w:t>
      </w:r>
      <w:r>
        <w:t xml:space="preserve">(DISCOV, Oiry et al., 2024)</w:t>
      </w:r>
      <w:r>
        <w:t xml:space="preserve"> </w:t>
      </w:r>
      <w:r>
        <w:t xml:space="preserve">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French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3"/>
    <w:bookmarkStart w:id="336" w:name="material-methods"/>
    <w:p>
      <w:pPr>
        <w:pStyle w:val="Heading2"/>
      </w:pPr>
      <w:r>
        <w:t xml:space="preserve">4.2 Material &amp; Methods</w:t>
      </w:r>
    </w:p>
    <w:bookmarkStart w:id="318"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7" w:name="fig-location_sites_g"/>
          <w:p>
            <w:pPr>
              <w:pStyle w:val="Compact"/>
              <w:jc w:val="center"/>
            </w:pPr>
            <w:r>
              <w:drawing>
                <wp:inline>
                  <wp:extent cx="5646420" cy="5646420"/>
                  <wp:effectExtent b="0" l="0" r="0" t="0"/>
                  <wp:docPr descr="" title="" id="315" name="Picture"/>
                  <a:graphic>
                    <a:graphicData uri="http://schemas.openxmlformats.org/drawingml/2006/picture">
                      <pic:pic>
                        <pic:nvPicPr>
                          <pic:cNvPr descr="Chapter4/Figs/Map_site.png" id="316" name="Picture"/>
                          <pic:cNvPicPr>
                            <a:picLocks noChangeArrowheads="1" noChangeAspect="1"/>
                          </pic:cNvPicPr>
                        </pic:nvPicPr>
                        <pic:blipFill>
                          <a:blip r:embed="rId31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7"/>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8"/>
    <w:bookmarkStart w:id="328"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2" w:name="fig-PictureFigure_G"/>
          <w:p>
            <w:pPr>
              <w:pStyle w:val="Compact"/>
              <w:jc w:val="center"/>
            </w:pPr>
            <w:r>
              <w:drawing>
                <wp:inline>
                  <wp:extent cx="5646420" cy="7910634"/>
                  <wp:effectExtent b="0" l="0" r="0" t="0"/>
                  <wp:docPr descr="" title="" id="320" name="Picture"/>
                  <a:graphic>
                    <a:graphicData uri="http://schemas.openxmlformats.org/drawingml/2006/picture">
                      <pic:pic>
                        <pic:nvPicPr>
                          <pic:cNvPr descr="Chapter4/Figs/FigurePictures.png" id="321" name="Picture"/>
                          <pic:cNvPicPr>
                            <a:picLocks noChangeArrowheads="1" noChangeAspect="1"/>
                          </pic:cNvPicPr>
                        </pic:nvPicPr>
                        <pic:blipFill>
                          <a:blip r:embed="rId31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2"/>
        </w:tc>
      </w:tr>
    </w:tbl>
    <w:bookmarkStart w:id="324"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3" w:name="eq-SecondDerivative"/>
      <m:oMathPara>
        <m:oMathParaPr>
          <m:jc m:val="center"/>
        </m:oMathParaPr>
        <m:oMath>
          <m:r>
            <m:t>R</m:t>
          </m:r>
          <m:r>
            <m:rPr>
              <m:sty m:val="p"/>
            </m:rPr>
            <m:t>″</m:t>
          </m:r>
          <m:d>
            <m:dPr>
              <m:begChr m:val="("/>
              <m:sepChr m:val=""/>
              <m:endChr m:val=")"/>
              <m:grow/>
            </m:dPr>
            <m:e>
              <m:sSub>
                <m:e>
                  <m:r>
                    <m:t>λ</m:t>
                  </m:r>
                </m:e>
                <m:sub>
                  <m:r>
                    <m:t>i</m:t>
                  </m:r>
                </m:sub>
              </m:sSub>
            </m:e>
          </m:d>
          <m:r>
            <m:rPr>
              <m:sty m:val="p"/>
            </m:rPr>
            <m:t>≈</m:t>
          </m:r>
          <m:f>
            <m:fPr>
              <m:type m:val="bar"/>
            </m:fPr>
            <m:num>
              <m:r>
                <m:t>R</m:t>
              </m:r>
              <m:d>
                <m:dPr>
                  <m:begChr m:val="("/>
                  <m:sepChr m:val=""/>
                  <m:endChr m:val=")"/>
                  <m:grow/>
                </m:dPr>
                <m:e>
                  <m:sSub>
                    <m:e>
                      <m:r>
                        <m:t>λ</m:t>
                      </m:r>
                    </m:e>
                    <m:sub>
                      <m:r>
                        <m:t>i</m:t>
                      </m:r>
                      <m:r>
                        <m:rPr>
                          <m:sty m:val="p"/>
                        </m:rPr>
                        <m:t>+</m:t>
                      </m:r>
                      <m:r>
                        <m:t>1</m:t>
                      </m:r>
                    </m:sub>
                  </m:sSub>
                </m:e>
              </m:d>
              <m:r>
                <m:rPr>
                  <m:sty m:val="p"/>
                </m:rPr>
                <m:t>−</m:t>
              </m:r>
              <m:r>
                <m:t>2</m:t>
              </m:r>
              <m:r>
                <m:t>R</m:t>
              </m:r>
              <m:d>
                <m:dPr>
                  <m:begChr m:val="("/>
                  <m:sepChr m:val=""/>
                  <m:endChr m:val=")"/>
                  <m:grow/>
                </m:dPr>
                <m:e>
                  <m:sSub>
                    <m:e>
                      <m:r>
                        <m:t>λ</m:t>
                      </m:r>
                    </m:e>
                    <m:sub>
                      <m:r>
                        <m:t>i</m:t>
                      </m:r>
                    </m:sub>
                  </m:sSub>
                </m:e>
              </m:d>
              <m:r>
                <m:rPr>
                  <m:sty m:val="p"/>
                </m:rPr>
                <m:t>+</m:t>
              </m:r>
              <m:r>
                <m:t>R</m:t>
              </m:r>
              <m:d>
                <m:dPr>
                  <m:begChr m:val="("/>
                  <m:sepChr m:val=""/>
                  <m:endChr m:val=")"/>
                  <m:grow/>
                </m:dPr>
                <m:e>
                  <m:sSub>
                    <m:e>
                      <m:r>
                        <m:t>λ</m:t>
                      </m:r>
                    </m:e>
                    <m:sub>
                      <m:r>
                        <m:t>i</m:t>
                      </m:r>
                      <m:r>
                        <m:rPr>
                          <m:sty m:val="p"/>
                        </m:rPr>
                        <m:t>−</m:t>
                      </m:r>
                      <m:r>
                        <m:t>1</m:t>
                      </m:r>
                    </m:sub>
                  </m:sSub>
                </m:e>
              </m:d>
            </m:num>
            <m:den>
              <m:sSup>
                <m:e>
                  <m:d>
                    <m:dPr>
                      <m:begChr m:val="("/>
                      <m:sepChr m:val=""/>
                      <m:endChr m:val=")"/>
                      <m:grow/>
                    </m:dPr>
                    <m:e>
                      <m:r>
                        <m:t>Δ</m:t>
                      </m:r>
                      <m:r>
                        <m:t>λ</m:t>
                      </m:r>
                    </m:e>
                  </m:d>
                </m:e>
                <m:sup>
                  <m:r>
                    <m:t>2</m:t>
                  </m:r>
                </m:sup>
              </m:sSup>
            </m:den>
          </m:f>
          <m:r>
            <m:t>  </m:t>
          </m:r>
          <m:d>
            <m:dPr>
              <m:begChr m:val="("/>
              <m:sepChr m:val=""/>
              <m:endChr m:val=")"/>
              <m:grow/>
            </m:dPr>
            <m:e>
              <m:r>
                <m:t>4.1</m:t>
              </m:r>
            </m:e>
          </m:d>
        </m:oMath>
      </m:oMathPara>
      <w:bookmarkEnd w:id="323"/>
    </w:p>
    <w:p>
      <w:pPr>
        <w:pStyle w:val="FirstParagraph"/>
      </w:pPr>
      <w:r>
        <w:t xml:space="preserve">where</w:t>
      </w:r>
      <w:r>
        <w:t xml:space="preserve"> </w:t>
      </w:r>
      <m:oMath>
        <m:r>
          <m:t>R</m:t>
        </m:r>
        <m:d>
          <m:dPr>
            <m:begChr m:val="("/>
            <m:sepChr m:val=""/>
            <m:end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4"/>
    <w:bookmarkStart w:id="327"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5"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Ground Control Points (GCPs) were acquired in the field using georeferenced targets and were then manually identified in the corresponding images to improve the georeferencing accuracy of the model.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5"/>
    <w:bookmarkStart w:id="326"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The Zenmuse L1 integrates a Livox LiDAR module with a 70° field of view and a scanning rate of up to 240,000 points per second.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slope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6"/>
    <w:bookmarkEnd w:id="327"/>
    <w:bookmarkEnd w:id="328"/>
    <w:bookmarkStart w:id="333" w:name="scene-classification"/>
    <w:p>
      <w:pPr>
        <w:pStyle w:val="Heading3"/>
      </w:pPr>
      <w:r>
        <w:t xml:space="preserve">4.2.3 Scene classification</w:t>
      </w:r>
    </w:p>
    <w:p>
      <w:pPr>
        <w:pStyle w:val="FirstParagraph"/>
      </w:pPr>
      <w:r>
        <w:t xml:space="preserve">Oiry et al. (2024)</w:t>
      </w:r>
      <w:r>
        <w:t xml:space="preserve"> </w:t>
      </w:r>
      <w:r>
        <w:t xml:space="preserve">developed a neural network classification model (DISCOV), and applied it with success to Micasense reflectance data to map intertidal vegetation along the Portuguese and French Atlantic coasts. This same model has been used in this study. The training dataset of DISCOV v1.0 was updated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5 771 Rhodophyceae pixel (3% of the training dataset). To fill this gap, the original training dataset of DISCOV v1.0 was updated using new training pixels coming from the 5 drone flights (</w:t>
      </w:r>
      <w:hyperlink w:anchor="sec-DroneFlights">
        <w:r>
          <w:rPr>
            <w:rStyle w:val="Hyperlink"/>
          </w:rPr>
          <w:t xml:space="preserve">Section 4.2.2</w:t>
        </w:r>
      </w:hyperlink>
      <w:r>
        <w:t xml:space="preserve">). A total of 472 000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updated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were present. Using this method, three independent users contributed to create a validation dataset of 6 755 pixels across 79 snapshots distributed among the four drone flights (</w:t>
      </w:r>
      <w:hyperlink w:anchor="sec-AnnexeB">
        <w:r>
          <w:rPr>
            <w:rStyle w:val="Hyperlink"/>
          </w:rPr>
          <w:t xml:space="preserve">Section 4.6.2</w:t>
        </w:r>
      </w:hyperlink>
      <w:r>
        <w:t xml:space="preserve">). The validation dataset was then simplified into two classes: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2" w:name="fig-Workflow_g"/>
          <w:p>
            <w:pPr>
              <w:pStyle w:val="Compact"/>
              <w:jc w:val="center"/>
            </w:pPr>
            <w:r>
              <w:drawing>
                <wp:inline>
                  <wp:extent cx="5646420" cy="4298400"/>
                  <wp:effectExtent b="0" l="0" r="0" t="0"/>
                  <wp:docPr descr="" title="" id="330" name="Picture"/>
                  <a:graphic>
                    <a:graphicData uri="http://schemas.openxmlformats.org/drawingml/2006/picture">
                      <pic:pic>
                        <pic:nvPicPr>
                          <pic:cNvPr descr="Chapter4/Figs/Flowchart_gracillaria.png" id="331" name="Picture"/>
                          <pic:cNvPicPr>
                            <a:picLocks noChangeArrowheads="1" noChangeAspect="1"/>
                          </pic:cNvPicPr>
                        </pic:nvPicPr>
                        <pic:blipFill>
                          <a:blip r:embed="rId329"/>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2"/>
        </w:tc>
      </w:tr>
    </w:tbl>
    <w:bookmarkEnd w:id="333"/>
    <w:bookmarkStart w:id="334"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4"/>
    <w:bookmarkStart w:id="335"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5"/>
    <w:bookmarkEnd w:id="336"/>
    <w:bookmarkStart w:id="360" w:name="results-2"/>
    <w:p>
      <w:pPr>
        <w:pStyle w:val="Heading2"/>
      </w:pPr>
      <w:r>
        <w:t xml:space="preserve">4.3 Results</w:t>
      </w:r>
    </w:p>
    <w:bookmarkStart w:id="345"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w:t>
      </w:r>
      <w:r>
        <w:t xml:space="preserve">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40" w:name="fig-HistoricalMap_g"/>
          <w:p>
            <w:pPr>
              <w:pStyle w:val="Compact"/>
              <w:jc w:val="center"/>
            </w:pPr>
            <w:r>
              <w:drawing>
                <wp:inline>
                  <wp:extent cx="5646420" cy="2552181"/>
                  <wp:effectExtent b="0" l="0" r="0" t="0"/>
                  <wp:docPr descr="" title="" id="338" name="Picture"/>
                  <a:graphic>
                    <a:graphicData uri="http://schemas.openxmlformats.org/drawingml/2006/picture">
                      <pic:pic>
                        <pic:nvPicPr>
                          <pic:cNvPr descr="Chapter4/Figs/Historical_maps.png" id="339" name="Picture"/>
                          <pic:cNvPicPr>
                            <a:picLocks noChangeArrowheads="1" noChangeAspect="1"/>
                          </pic:cNvPicPr>
                        </pic:nvPicPr>
                        <pic:blipFill>
                          <a:blip r:embed="rId337"/>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Orthoimages of the Belon Estuary (Pont de Guilly) showing the colonization of the mudflat by Gracilaria vermiculophylla between 1952 and 2024.</w:t>
            </w:r>
          </w:p>
          <w:bookmarkEnd w:id="340"/>
        </w:tc>
      </w:tr>
    </w:tbl>
    <w:tbl>
      <w:tblPr>
        <w:tblStyle w:val="Table"/>
        <w:tblW w:type="pct" w:w="5000"/>
        <w:tblLayout w:type="fixed"/>
        <w:tblLook w:firstRow="0" w:lastRow="0" w:firstColumn="0" w:lastColumn="0" w:noHBand="0" w:noVBand="0" w:val="0000"/>
      </w:tblPr>
      <w:tblGrid>
        <w:gridCol w:w="7920"/>
      </w:tblGrid>
      <w:tr>
        <w:tc>
          <w:tcPr/>
          <w:bookmarkStart w:id="344" w:name="fig-HistoricalPlot_g"/>
          <w:p>
            <w:pPr>
              <w:pStyle w:val="Compact"/>
              <w:jc w:val="center"/>
            </w:pPr>
            <w:r>
              <w:drawing>
                <wp:inline>
                  <wp:extent cx="5646420" cy="3387852"/>
                  <wp:effectExtent b="0" l="0" r="0" t="0"/>
                  <wp:docPr descr="" title="" id="342" name="Picture"/>
                  <a:graphic>
                    <a:graphicData uri="http://schemas.openxmlformats.org/drawingml/2006/picture">
                      <pic:pic>
                        <pic:nvPicPr>
                          <pic:cNvPr descr="Chapter4/Figs/Cover_Gracillaria_vs_Time.png" id="343" name="Picture"/>
                          <pic:cNvPicPr>
                            <a:picLocks noChangeArrowheads="1" noChangeAspect="1"/>
                          </pic:cNvPicPr>
                        </pic:nvPicPr>
                        <pic:blipFill>
                          <a:blip r:embed="rId34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4"/>
        </w:tc>
      </w:tr>
    </w:tbl>
    <w:bookmarkEnd w:id="345"/>
    <w:bookmarkStart w:id="350"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9" w:name="fig-SpecDescri"/>
          <w:p>
            <w:pPr>
              <w:pStyle w:val="Compact"/>
              <w:jc w:val="center"/>
            </w:pPr>
            <w:r>
              <w:drawing>
                <wp:inline>
                  <wp:extent cx="5349240" cy="9430153"/>
                  <wp:effectExtent b="0" l="0" r="0" t="0"/>
                  <wp:docPr descr="" title="" id="347" name="Picture"/>
                  <a:graphic>
                    <a:graphicData uri="http://schemas.openxmlformats.org/drawingml/2006/picture">
                      <pic:pic>
                        <pic:nvPicPr>
                          <pic:cNvPr descr="Chapter4/Figs/plot_spectral_signature.png" id="348" name="Picture"/>
                          <pic:cNvPicPr>
                            <a:picLocks noChangeArrowheads="1" noChangeAspect="1"/>
                          </pic:cNvPicPr>
                        </pic:nvPicPr>
                        <pic:blipFill>
                          <a:blip r:embed="rId346"/>
                          <a:stretch>
                            <a:fillRect/>
                          </a:stretch>
                        </pic:blipFill>
                        <pic:spPr bwMode="auto">
                          <a:xfrm>
                            <a:off x="0" y="0"/>
                            <a:ext cx="5349240" cy="9430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9"/>
        </w:tc>
      </w:tr>
    </w:tbl>
    <w:bookmarkEnd w:id="350"/>
    <w:bookmarkStart w:id="359"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continuous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Estuary, Rhodophyceae cover was more scarce, due to a strong presence of Chlorophyceae at this site (Annex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w:t>
      </w:r>
      <w:r>
        <w:t xml:space="preserve"> </w:t>
      </w:r>
      <w:r>
        <w:rPr>
          <w:i/>
          <w:iCs/>
        </w:rPr>
        <w:t xml:space="preserve">G. vermiculophylla</w:t>
      </w:r>
      <w:r>
        <w:t xml:space="preserve"> </w:t>
      </w:r>
      <w:r>
        <w:t xml:space="preserve">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exhibiting reduced macroalgal cover.</w:t>
      </w:r>
      <w:r>
        <w:t xml:space="preserve"> </w:t>
      </w:r>
      <w:r>
        <w:t xml:space="preserve">Most of the intertidal flats exhibited slope below 10° (Violet, (</w:t>
      </w:r>
      <w:hyperlink w:anchor="fig-Belon">
        <w:r>
          <w:rPr>
            <w:rStyle w:val="Hyperlink"/>
          </w:rPr>
          <w:t xml:space="preserve">Figure 4.7</w:t>
        </w:r>
      </w:hyperlink>
      <w:r>
        <w:t xml:space="preserve"> </w:t>
      </w:r>
      <w:r>
        <w:t xml:space="preserve">D). Angled surfaces (10° &lt; Slope &lt; 40°) often found next to tidal channels were exhibiting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4" w:name="fig-Belon"/>
          <w:p>
            <w:pPr>
              <w:pStyle w:val="Compact"/>
              <w:jc w:val="center"/>
            </w:pPr>
            <w:r>
              <w:drawing>
                <wp:inline>
                  <wp:extent cx="4754880" cy="8441508"/>
                  <wp:effectExtent b="0" l="0" r="0" t="0"/>
                  <wp:docPr descr="" title="" id="352" name="Picture"/>
                  <a:graphic>
                    <a:graphicData uri="http://schemas.openxmlformats.org/drawingml/2006/picture">
                      <pic:pic>
                        <pic:nvPicPr>
                          <pic:cNvPr descr="Chapter4/Figs/Belon_maps.png" id="353" name="Picture"/>
                          <pic:cNvPicPr>
                            <a:picLocks noChangeArrowheads="1" noChangeAspect="1"/>
                          </pic:cNvPicPr>
                        </pic:nvPicPr>
                        <pic:blipFill>
                          <a:blip r:embed="rId351"/>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80 mm per pixel. Elevation corresponds to the height above mean sea level.</w:t>
            </w:r>
          </w:p>
          <w:bookmarkEnd w:id="354"/>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8" w:name="fig-Gam_Slope"/>
          <w:p>
            <w:pPr>
              <w:pStyle w:val="Compact"/>
              <w:jc w:val="center"/>
            </w:pPr>
            <w:r>
              <w:drawing>
                <wp:inline>
                  <wp:extent cx="5646420" cy="2825092"/>
                  <wp:effectExtent b="0" l="0" r="0" t="0"/>
                  <wp:docPr descr="" title="" id="356" name="Picture"/>
                  <a:graphic>
                    <a:graphicData uri="http://schemas.openxmlformats.org/drawingml/2006/picture">
                      <pic:pic>
                        <pic:nvPicPr>
                          <pic:cNvPr descr="Chapter4/Figs/GAM_slope_cover.png" id="357" name="Picture"/>
                          <pic:cNvPicPr>
                            <a:picLocks noChangeArrowheads="1" noChangeAspect="1"/>
                          </pic:cNvPicPr>
                        </pic:nvPicPr>
                        <pic:blipFill>
                          <a:blip r:embed="rId355"/>
                          <a:stretch>
                            <a:fillRect/>
                          </a:stretch>
                        </pic:blipFill>
                        <pic:spPr bwMode="auto">
                          <a:xfrm>
                            <a:off x="0" y="0"/>
                            <a:ext cx="5646420" cy="28250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8"/>
        </w:tc>
      </w:tr>
    </w:tbl>
    <w:bookmarkEnd w:id="359"/>
    <w:bookmarkEnd w:id="360"/>
    <w:bookmarkStart w:id="364" w:name="discussion-2"/>
    <w:p>
      <w:pPr>
        <w:pStyle w:val="Heading2"/>
      </w:pPr>
      <w:r>
        <w:t xml:space="preserve">4.4 Discussion</w:t>
      </w:r>
    </w:p>
    <w:bookmarkStart w:id="361"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machine learning-based classification model DISCOV initially developed to discriminate seagrass from green macrophytes [DISCOV ;</w:t>
      </w:r>
      <w:r>
        <w:t xml:space="preserve"> </w:t>
      </w:r>
      <w:r>
        <w:t xml:space="preserve">Oiry et al. (2024)</w:t>
      </w:r>
      <w:r>
        <w:t xml:space="preserve">]. DISCOV v2.0 was based on an updated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61"/>
    <w:bookmarkStart w:id="362"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2"/>
    <w:bookmarkStart w:id="363"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ultra-high 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3"/>
    <w:bookmarkEnd w:id="364"/>
    <w:bookmarkStart w:id="365" w:name="conclusion-1"/>
    <w:p>
      <w:pPr>
        <w:pStyle w:val="Heading2"/>
      </w:pPr>
      <w:r>
        <w:t xml:space="preserve">4.5 Conclusion</w:t>
      </w:r>
    </w:p>
    <w:p>
      <w:pPr>
        <w:pStyle w:val="FirstParagraph"/>
      </w:pPr>
      <w:r>
        <w:t xml:space="preserve">This study demonstrated the potential of historical records and of ultra-high 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5"/>
    <w:bookmarkStart w:id="378" w:name="annexes"/>
    <w:p>
      <w:pPr>
        <w:pStyle w:val="Heading2"/>
      </w:pPr>
      <w:r>
        <w:t xml:space="preserve">4.6 Annexes</w:t>
      </w:r>
    </w:p>
    <w:bookmarkStart w:id="366" w:name="sec-AnnexeA"/>
    <w:p>
      <w:pPr>
        <w:pStyle w:val="Heading3"/>
      </w:pPr>
      <w:r>
        <w:t xml:space="preserve">4.6.1 Annexes A - Updated training dataset</w:t>
      </w:r>
    </w:p>
    <w:p>
      <w:r>
        <w:br w:type="page"/>
      </w:r>
    </w:p>
    <w:bookmarkEnd w:id="366"/>
    <w:bookmarkStart w:id="367" w:name="sec-AnnexeB"/>
    <w:p>
      <w:pPr>
        <w:pStyle w:val="Heading3"/>
      </w:pPr>
      <w:r>
        <w:t xml:space="preserve">4.6.2 Annexes B - Validation dataset</w:t>
      </w:r>
    </w:p>
    <w:p>
      <w:r>
        <w:br w:type="page"/>
      </w:r>
    </w:p>
    <w:bookmarkEnd w:id="367"/>
    <w:bookmarkStart w:id="372"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71"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p>
            <w:pPr>
              <w:jc w:val="center"/>
            </w:pPr>
            <w:r>
              <w:drawing>
                <wp:inline>
                  <wp:extent cx="4160520" cy="1652642"/>
                  <wp:effectExtent b="0" l="0" r="0" t="0"/>
                  <wp:docPr descr="" title="" id="369" name="Picture"/>
                  <a:graphic>
                    <a:graphicData uri="http://schemas.openxmlformats.org/drawingml/2006/picture">
                      <pic:pic>
                        <pic:nvPicPr>
                          <pic:cNvPr descr="Chapter4/Figs/table_images.png" id="370" name="Picture"/>
                          <pic:cNvPicPr>
                            <a:picLocks noChangeArrowheads="1" noChangeAspect="1"/>
                          </pic:cNvPicPr>
                        </pic:nvPicPr>
                        <pic:blipFill>
                          <a:blip r:embed="rId368"/>
                          <a:stretch>
                            <a:fillRect/>
                          </a:stretch>
                        </pic:blipFill>
                        <pic:spPr bwMode="auto">
                          <a:xfrm>
                            <a:off x="0" y="0"/>
                            <a:ext cx="4160520" cy="1652642"/>
                          </a:xfrm>
                          <a:prstGeom prst="rect">
                            <a:avLst/>
                          </a:prstGeom>
                          <a:noFill/>
                          <a:ln w="9525">
                            <a:noFill/>
                            <a:headEnd/>
                            <a:tailEnd/>
                          </a:ln>
                        </pic:spPr>
                      </pic:pic>
                    </a:graphicData>
                  </a:graphic>
                </wp:inline>
              </w:drawing>
            </w:r>
          </w:p>
          <w:bookmarkEnd w:id="371"/>
        </w:tc>
      </w:tr>
    </w:tbl>
    <w:p>
      <w:r>
        <w:br w:type="page"/>
      </w:r>
    </w:p>
    <w:bookmarkEnd w:id="372"/>
    <w:bookmarkStart w:id="377"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6" w:name="fig-Saja_g"/>
          <w:p>
            <w:pPr>
              <w:pStyle w:val="Compact"/>
              <w:jc w:val="center"/>
            </w:pPr>
            <w:r>
              <w:drawing>
                <wp:inline>
                  <wp:extent cx="5052060" cy="8217798"/>
                  <wp:effectExtent b="0" l="0" r="0" t="0"/>
                  <wp:docPr descr="" title="" id="374" name="Picture"/>
                  <a:graphic>
                    <a:graphicData uri="http://schemas.openxmlformats.org/drawingml/2006/picture">
                      <pic:pic>
                        <pic:nvPicPr>
                          <pic:cNvPr descr="Chapter4/Figs/Saja_maps.png" id="375" name="Picture"/>
                          <pic:cNvPicPr>
                            <a:picLocks noChangeArrowheads="1" noChangeAspect="1"/>
                          </pic:cNvPicPr>
                        </pic:nvPicPr>
                        <pic:blipFill>
                          <a:blip r:embed="rId373"/>
                          <a:stretch>
                            <a:fillRect/>
                          </a:stretch>
                        </pic:blipFill>
                        <pic:spPr bwMode="auto">
                          <a:xfrm>
                            <a:off x="0" y="0"/>
                            <a:ext cx="5052060" cy="8217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of the Saja estuary, Nothern Spain. The total extent of this flight was 20.4 ha with a resolution of 80 mm per pixel.</w:t>
            </w:r>
          </w:p>
          <w:bookmarkEnd w:id="376"/>
        </w:tc>
      </w:tr>
    </w:tbl>
    <w:bookmarkEnd w:id="377"/>
    <w:bookmarkEnd w:id="378"/>
    <w:bookmarkEnd w:id="379"/>
    <w:bookmarkStart w:id="476" w:name="X1561e86f51a34bd510c830a563784fa1d07c37a"/>
    <w:p>
      <w:pPr>
        <w:pStyle w:val="Heading1"/>
      </w:pPr>
      <w:r>
        <w:t xml:space="preserve">5. The impact of Heatwave on Seagrasses using hyperspectral and multispectral remote sensing</w:t>
      </w:r>
    </w:p>
    <w:bookmarkStart w:id="380"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spectral signature.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80"/>
    <w:bookmarkStart w:id="381"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81"/>
    <w:bookmarkStart w:id="419" w:name="materials-methods-1"/>
    <w:p>
      <w:pPr>
        <w:pStyle w:val="Heading2"/>
      </w:pPr>
      <w:r>
        <w:t xml:space="preserve">5.2 Materials &amp; Methods</w:t>
      </w:r>
    </w:p>
    <w:bookmarkStart w:id="402" w:name="laboratory-experiment"/>
    <w:p>
      <w:pPr>
        <w:pStyle w:val="Heading3"/>
      </w:pPr>
      <w:r>
        <w:t xml:space="preserve">5.2.1 Laboratory Experiment</w:t>
      </w:r>
    </w:p>
    <w:bookmarkStart w:id="386"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(30 cm x 15 cm x 5 cm ; length x width x depth, respectively) was used to sample seagrass,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design_h"/>
          <w:p>
            <w:pPr>
              <w:pStyle w:val="Compact"/>
              <w:jc w:val="center"/>
            </w:pPr>
            <w:r>
              <w:drawing>
                <wp:inline>
                  <wp:extent cx="5646420" cy="5554024"/>
                  <wp:effectExtent b="0" l="0" r="0" t="0"/>
                  <wp:docPr descr="" title="" id="383" name="Picture"/>
                  <a:graphic>
                    <a:graphicData uri="http://schemas.openxmlformats.org/drawingml/2006/picture">
                      <pic:pic>
                        <pic:nvPicPr>
                          <pic:cNvPr descr="Chapter5/Figs/Experimental_design.png" id="384" name="Picture"/>
                          <pic:cNvPicPr>
                            <a:picLocks noChangeArrowheads="1" noChangeAspect="1"/>
                          </pic:cNvPicPr>
                        </pic:nvPicPr>
                        <pic:blipFill>
                          <a:blip r:embed="rId382"/>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5"/>
        </w:tc>
      </w:tr>
    </w:tbl>
    <w:bookmarkEnd w:id="386"/>
    <w:bookmarkStart w:id="391"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µmol.s</w:t>
      </w:r>
      <w:r>
        <w:rPr>
          <w:vertAlign w:val="superscript"/>
        </w:rPr>
        <w:t xml:space="preserve">-1</w:t>
      </w:r>
      <w:r>
        <w:t xml:space="preserve">.m</w:t>
      </w:r>
      <w:r>
        <w:rPr>
          <w:vertAlign w:val="superscript"/>
        </w:rPr>
        <w:t xml:space="preserve">-2</w:t>
      </w:r>
      <w:r>
        <w:t xml:space="preserve">,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Profile_h"/>
          <w:p>
            <w:pPr>
              <w:pStyle w:val="Compact"/>
              <w:jc w:val="center"/>
            </w:pPr>
            <w:r>
              <w:drawing>
                <wp:inline>
                  <wp:extent cx="5646420" cy="2582402"/>
                  <wp:effectExtent b="0" l="0" r="0" t="0"/>
                  <wp:docPr descr="" title="" id="388" name="Picture"/>
                  <a:graphic>
                    <a:graphicData uri="http://schemas.openxmlformats.org/drawingml/2006/picture">
                      <pic:pic>
                        <pic:nvPicPr>
                          <pic:cNvPr descr="Chapter5/Figs/Chamber_Profils.png" id="389" name="Picture"/>
                          <pic:cNvPicPr>
                            <a:picLocks noChangeArrowheads="1" noChangeAspect="1"/>
                          </pic:cNvPicPr>
                        </pic:nvPicPr>
                        <pic:blipFill>
                          <a:blip r:embed="rId387"/>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90"/>
        </w:tc>
      </w:tr>
    </w:tbl>
    <w:bookmarkEnd w:id="391"/>
    <w:bookmarkStart w:id="401" w:name="optical-measurements"/>
    <w:p>
      <w:pPr>
        <w:pStyle w:val="Heading4"/>
      </w:pPr>
      <w:r>
        <w:t xml:space="preserve">5.2.1.3 Optical measurements</w:t>
      </w:r>
    </w:p>
    <w:bookmarkStart w:id="392"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sepChr m:val=""/>
            <m:end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sepChr m:val=""/>
            <m:endChr m:val=")"/>
            <m:grow/>
          </m:dPr>
          <m:e>
            <m:r>
              <m:t>λ</m:t>
            </m:r>
          </m:e>
        </m:d>
      </m:oMath>
      <w:r>
        <w:t xml:space="preserve"> </w:t>
      </w:r>
      <w:r>
        <w:t xml:space="preserve">without opening the chamber. An average of five</w:t>
      </w:r>
      <w:r>
        <w:t xml:space="preserve"> </w:t>
      </w:r>
      <m:oMath>
        <m:r>
          <m:t>R</m:t>
        </m:r>
        <m:d>
          <m:dPr>
            <m:begChr m:val="("/>
            <m:sepChr m:val=""/>
            <m:end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sepChr m:val=""/>
            <m:end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92"/>
    <w:bookmarkStart w:id="400"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w:t>
      </w:r>
      <m:oMath>
        <m:r>
          <m:t>δ</m:t>
        </m:r>
        <m:sSub>
          <m:e>
            <m:r>
              <m:t>δ</m:t>
            </m:r>
          </m:e>
          <m:sub>
            <m:r>
              <m:t>665</m:t>
            </m:r>
          </m:sub>
        </m:sSub>
      </m:oMath>
      <w:r>
        <w:t xml:space="preserve">),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sepChr m:val=""/>
            <m:end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w:t>
      </w:r>
      <w:r>
        <w:t xml:space="preserve"> </w:t>
      </w:r>
      <w:r>
        <w:t xml:space="preserve">(NDVI, 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93" w:name="eq-ndvi"/>
      <m:oMathPara>
        <m:oMathParaPr>
          <m:jc m:val="center"/>
        </m:oMathParaPr>
        <m:oMath>
          <m:r>
            <m:t>N</m:t>
          </m:r>
          <m:r>
            <m:t>D</m:t>
          </m:r>
          <m:r>
            <m:t>V</m:t>
          </m:r>
          <m:r>
            <m:t>I</m:t>
          </m:r>
          <m:r>
            <m:rPr>
              <m:sty m:val="p"/>
            </m:rPr>
            <m:t>=</m:t>
          </m:r>
          <m:f>
            <m:fPr>
              <m:type m:val="bar"/>
            </m:fPr>
            <m:num>
              <m:r>
                <m:t>R</m:t>
              </m:r>
              <m:d>
                <m:dPr>
                  <m:begChr m:val="("/>
                  <m:sepChr m:val=""/>
                  <m:endChr m:val=")"/>
                  <m:grow/>
                </m:dPr>
                <m:e>
                  <m:r>
                    <m:t>840</m:t>
                  </m:r>
                </m:e>
              </m:d>
              <m:r>
                <m:rPr>
                  <m:sty m:val="p"/>
                </m:rPr>
                <m:t>−</m:t>
              </m:r>
              <m:r>
                <m:t>R</m:t>
              </m:r>
              <m:d>
                <m:dPr>
                  <m:begChr m:val="("/>
                  <m:sepChr m:val=""/>
                  <m:endChr m:val=")"/>
                  <m:grow/>
                </m:dPr>
                <m:e>
                  <m:r>
                    <m:t>668</m:t>
                  </m:r>
                </m:e>
              </m:d>
            </m:num>
            <m:den>
              <m:r>
                <m:t>R</m:t>
              </m:r>
              <m:d>
                <m:dPr>
                  <m:begChr m:val="("/>
                  <m:sepChr m:val=""/>
                  <m:endChr m:val=")"/>
                  <m:grow/>
                </m:dPr>
                <m:e>
                  <m:r>
                    <m:t>840</m:t>
                  </m:r>
                </m:e>
              </m:d>
              <m:r>
                <m:rPr>
                  <m:sty m:val="p"/>
                </m:rPr>
                <m:t>+</m:t>
              </m:r>
              <m:r>
                <m:t>R</m:t>
              </m:r>
              <m:d>
                <m:dPr>
                  <m:begChr m:val="("/>
                  <m:sepChr m:val=""/>
                  <m:endChr m:val=")"/>
                  <m:grow/>
                </m:dPr>
                <m:e>
                  <m:r>
                    <m:t>668</m:t>
                  </m:r>
                </m:e>
              </m:d>
            </m:den>
          </m:f>
          <m:r>
            <m:t>  </m:t>
          </m:r>
          <m:d>
            <m:dPr>
              <m:begChr m:val="("/>
              <m:sepChr m:val=""/>
              <m:endChr m:val=")"/>
              <m:grow/>
            </m:dPr>
            <m:e>
              <m:r>
                <m:t>5.1</m:t>
              </m:r>
            </m:e>
          </m:d>
        </m:oMath>
      </m:oMathPara>
      <w:bookmarkEnd w:id="393"/>
    </w:p>
    <w:p>
      <w:pPr>
        <w:pStyle w:val="FirstParagraph"/>
      </w:pPr>
      <w:r>
        <w:t xml:space="preserve">where</w:t>
      </w:r>
      <w:r>
        <w:t xml:space="preserve"> </w:t>
      </w:r>
      <m:oMath>
        <m:r>
          <m:t>R</m:t>
        </m:r>
        <m:d>
          <m:dPr>
            <m:begChr m:val="("/>
            <m:sepChr m:val=""/>
            <m:endChr m:val=")"/>
            <m:grow/>
          </m:dPr>
          <m:e>
            <m:r>
              <m:t>840</m:t>
            </m:r>
          </m:e>
        </m:d>
      </m:oMath>
      <w:r>
        <w:t xml:space="preserve"> </w:t>
      </w:r>
      <w:r>
        <w:t xml:space="preserve">and</w:t>
      </w:r>
      <w:r>
        <w:t xml:space="preserve"> </w:t>
      </w:r>
      <m:oMath>
        <m:r>
          <m:t>R</m:t>
        </m:r>
        <m:d>
          <m:dPr>
            <m:begChr m:val="("/>
            <m:sepChr m:val=""/>
            <m:endChr m:val=")"/>
            <m:grow/>
          </m:dPr>
          <m:e>
            <m:r>
              <m:t>668</m:t>
            </m:r>
          </m:e>
        </m:d>
      </m:oMath>
      <w:r>
        <w:t xml:space="preserve"> </w:t>
      </w:r>
      <w:r>
        <w:t xml:space="preserve">are the reflectance at 840 and 668 nm respectively.</w:t>
      </w:r>
    </w:p>
    <w:p>
      <w:pPr>
        <w:pStyle w:val="Compact"/>
        <w:numPr>
          <w:ilvl w:val="0"/>
          <w:numId w:val="1006"/>
        </w:numPr>
      </w:pPr>
      <w:r>
        <w:t xml:space="preserve">The Green Leaf Index</w:t>
      </w:r>
      <w:r>
        <w:t xml:space="preserve"> </w:t>
      </w:r>
      <w:r>
        <w:t xml:space="preserve">(GLI, 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94" w:name="eq-gli"/>
      <m:oMathPara>
        <m:oMathParaPr>
          <m:jc m:val="center"/>
        </m:oMathParaPr>
        <m:oMath>
          <m:r>
            <m:t>G</m:t>
          </m:r>
          <m:r>
            <m:t>L</m:t>
          </m:r>
          <m:r>
            <m:t>I</m:t>
          </m:r>
          <m:r>
            <m:rPr>
              <m:sty m:val="p"/>
            </m:rPr>
            <m:t>=</m:t>
          </m:r>
          <m:f>
            <m:fPr>
              <m:type m:val="bar"/>
            </m:fPr>
            <m:num>
              <m:d>
                <m:dPr>
                  <m:begChr m:val="["/>
                  <m:sepChr m:val=""/>
                  <m:endChr m:val="]"/>
                  <m:grow/>
                </m:dPr>
                <m:e>
                  <m:r>
                    <m:t>R</m:t>
                  </m:r>
                  <m:d>
                    <m:dPr>
                      <m:begChr m:val="("/>
                      <m:sepChr m:val=""/>
                      <m:endChr m:val=")"/>
                      <m:grow/>
                    </m:dPr>
                    <m:e>
                      <m:r>
                        <m:t>550</m:t>
                      </m:r>
                    </m:e>
                  </m:d>
                  <m:r>
                    <m:rPr>
                      <m:sty m:val="p"/>
                    </m:rPr>
                    <m:t>−</m:t>
                  </m:r>
                  <m:r>
                    <m:t>R</m:t>
                  </m:r>
                  <m:d>
                    <m:dPr>
                      <m:begChr m:val="("/>
                      <m:sepChr m:val=""/>
                      <m:endChr m:val=")"/>
                      <m:grow/>
                    </m:dPr>
                    <m:e>
                      <m:r>
                        <m:t>668</m:t>
                      </m:r>
                    </m:e>
                  </m:d>
                </m:e>
              </m:d>
              <m:r>
                <m:rPr>
                  <m:sty m:val="p"/>
                </m:rPr>
                <m:t>+</m:t>
              </m:r>
              <m:d>
                <m:dPr>
                  <m:begChr m:val="["/>
                  <m:sepChr m:val=""/>
                  <m:endChr m:val="]"/>
                  <m:grow/>
                </m:dPr>
                <m:e>
                  <m:r>
                    <m:t>R</m:t>
                  </m:r>
                  <m:d>
                    <m:dPr>
                      <m:begChr m:val="("/>
                      <m:sepChr m:val=""/>
                      <m:endChr m:val=")"/>
                      <m:grow/>
                    </m:dPr>
                    <m:e>
                      <m:r>
                        <m:t>550</m:t>
                      </m:r>
                    </m:e>
                  </m:d>
                  <m:r>
                    <m:rPr>
                      <m:sty m:val="p"/>
                    </m:rPr>
                    <m:t>−</m:t>
                  </m:r>
                  <m:r>
                    <m:t>R</m:t>
                  </m:r>
                  <m:d>
                    <m:dPr>
                      <m:begChr m:val="("/>
                      <m:sepChr m:val=""/>
                      <m:endChr m:val=")"/>
                      <m:grow/>
                    </m:dPr>
                    <m:e>
                      <m:r>
                        <m:t>450</m:t>
                      </m:r>
                    </m:e>
                  </m:d>
                </m:e>
              </m:d>
            </m:num>
            <m:den>
              <m:d>
                <m:dPr>
                  <m:begChr m:val="("/>
                  <m:sepChr m:val=""/>
                  <m:endChr m:val=")"/>
                  <m:grow/>
                </m:dPr>
                <m:e>
                  <m:r>
                    <m:t>2</m:t>
                  </m:r>
                  <m:r>
                    <m:rPr>
                      <m:sty m:val="p"/>
                    </m:rPr>
                    <m:t>×</m:t>
                  </m:r>
                  <m:r>
                    <m:t>R</m:t>
                  </m:r>
                  <m:d>
                    <m:dPr>
                      <m:begChr m:val="("/>
                      <m:sepChr m:val=""/>
                      <m:endChr m:val=")"/>
                      <m:grow/>
                    </m:dPr>
                    <m:e>
                      <m:r>
                        <m:t>550</m:t>
                      </m:r>
                    </m:e>
                  </m:d>
                </m:e>
              </m:d>
              <m:r>
                <m:rPr>
                  <m:sty m:val="p"/>
                </m:rPr>
                <m:t>+</m:t>
              </m:r>
              <m:r>
                <m:t>R</m:t>
              </m:r>
              <m:d>
                <m:dPr>
                  <m:begChr m:val="("/>
                  <m:sepChr m:val=""/>
                  <m:endChr m:val=")"/>
                  <m:grow/>
                </m:dPr>
                <m:e>
                  <m:r>
                    <m:t>668</m:t>
                  </m:r>
                </m:e>
              </m:d>
              <m:r>
                <m:rPr>
                  <m:sty m:val="p"/>
                </m:rPr>
                <m:t>+</m:t>
              </m:r>
              <m:r>
                <m:t>R</m:t>
              </m:r>
              <m:d>
                <m:dPr>
                  <m:begChr m:val="("/>
                  <m:sepChr m:val=""/>
                  <m:endChr m:val=")"/>
                  <m:grow/>
                </m:dPr>
                <m:e>
                  <m:r>
                    <m:t>450</m:t>
                  </m:r>
                </m:e>
              </m:d>
            </m:den>
          </m:f>
          <m:r>
            <m:t>  </m:t>
          </m:r>
          <m:d>
            <m:dPr>
              <m:begChr m:val="("/>
              <m:sepChr m:val=""/>
              <m:endChr m:val=")"/>
              <m:grow/>
            </m:dPr>
            <m:e>
              <m:r>
                <m:t>5.2</m:t>
              </m:r>
            </m:e>
          </m:d>
        </m:oMath>
      </m:oMathPara>
      <w:bookmarkEnd w:id="394"/>
    </w:p>
    <w:p>
      <w:pPr>
        <w:pStyle w:val="FirstParagraph"/>
      </w:pPr>
      <w:r>
        <w:t xml:space="preserve">where</w:t>
      </w:r>
      <w:r>
        <w:t xml:space="preserve"> </w:t>
      </w:r>
      <m:oMath>
        <m:r>
          <m:t>R</m:t>
        </m:r>
        <m:d>
          <m:dPr>
            <m:begChr m:val="("/>
            <m:sepChr m:val=""/>
            <m:endChr m:val=")"/>
            <m:grow/>
          </m:dPr>
          <m:e>
            <m:r>
              <m:t>550</m:t>
            </m:r>
          </m:e>
        </m:d>
      </m:oMath>
      <w:r>
        <w:t xml:space="preserve"> </w:t>
      </w:r>
      <w:r>
        <w:t xml:space="preserve">and</w:t>
      </w:r>
      <w:r>
        <w:t xml:space="preserve"> </w:t>
      </w:r>
      <m:oMath>
        <m:r>
          <m:t>R</m:t>
        </m:r>
        <m:d>
          <m:dPr>
            <m:begChr m:val="("/>
            <m:sepChr m:val=""/>
            <m:end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5"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sepChr m:val=""/>
              <m:endChr m:val=")"/>
              <m:grow/>
            </m:dPr>
            <m:e>
              <m:r>
                <m:t>740</m:t>
              </m:r>
            </m:e>
          </m:d>
          <m:r>
            <m:t>  </m:t>
          </m:r>
          <m:d>
            <m:dPr>
              <m:begChr m:val="("/>
              <m:sepChr m:val=""/>
              <m:endChr m:val=")"/>
              <m:grow/>
            </m:dPr>
            <m:e>
              <m:r>
                <m:t>5.3</m:t>
              </m:r>
            </m:e>
          </m:d>
        </m:oMath>
      </m:oMathPara>
      <w:bookmarkEnd w:id="395"/>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sepChr m:val=""/>
              <m:endChr m:val=")"/>
              <m:grow/>
            </m:dPr>
            <m:e>
              <m:r>
                <m:t>560</m:t>
              </m:r>
            </m:e>
          </m:d>
          <m:r>
            <m:rPr>
              <m:sty m:val="p"/>
            </m:rPr>
            <m:t>+</m:t>
          </m:r>
          <m:r>
            <m:t>τ</m:t>
          </m:r>
          <m:d>
            <m:dPr>
              <m:begChr m:val="["/>
              <m:sepChr m:val=""/>
              <m:endChr m:val="]"/>
              <m:grow/>
            </m:dPr>
            <m:e>
              <m:r>
                <m:t>R</m:t>
              </m:r>
              <m:d>
                <m:dPr>
                  <m:begChr m:val="("/>
                  <m:sepChr m:val=""/>
                  <m:endChr m:val=")"/>
                  <m:grow/>
                </m:dPr>
                <m:e>
                  <m:r>
                    <m:t>842</m:t>
                  </m:r>
                </m:e>
              </m:d>
              <m:r>
                <m:rPr>
                  <m:sty m:val="p"/>
                </m:rPr>
                <m:t>−</m:t>
              </m:r>
              <m:r>
                <m:t>R</m:t>
              </m:r>
              <m:d>
                <m:dPr>
                  <m:begChr m:val="("/>
                  <m:sepChr m:val=""/>
                  <m:end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sepChr m:val=""/>
            <m:endChr m:val=")"/>
            <m:grow/>
          </m:dPr>
          <m:e>
            <m:r>
              <m:t>560</m:t>
            </m:r>
          </m:e>
        </m:d>
      </m:oMath>
      <w:r>
        <w:t xml:space="preserve">,</w:t>
      </w:r>
      <w:r>
        <w:t xml:space="preserve"> </w:t>
      </w:r>
      <m:oMath>
        <m:r>
          <m:t>R</m:t>
        </m:r>
        <m:d>
          <m:dPr>
            <m:begChr m:val="("/>
            <m:sepChr m:val=""/>
            <m:endChr m:val=")"/>
            <m:grow/>
          </m:dPr>
          <m:e>
            <m:r>
              <m:t>740</m:t>
            </m:r>
          </m:e>
        </m:d>
      </m:oMath>
      <w:r>
        <w:t xml:space="preserve">, and</w:t>
      </w:r>
      <w:r>
        <w:t xml:space="preserve"> </w:t>
      </w:r>
      <m:oMath>
        <m:r>
          <m:t>R</m:t>
        </m:r>
        <m:d>
          <m:dPr>
            <m:begChr m:val="("/>
            <m:sepChr m:val=""/>
            <m:end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9" w:name="fig-SHSI_h"/>
          <w:p>
            <w:pPr>
              <w:pStyle w:val="Compact"/>
              <w:jc w:val="center"/>
            </w:pPr>
            <w:r>
              <w:drawing>
                <wp:inline>
                  <wp:extent cx="5646420" cy="5646420"/>
                  <wp:effectExtent b="0" l="0" r="0" t="0"/>
                  <wp:docPr descr="" title="" id="397" name="Picture"/>
                  <a:graphic>
                    <a:graphicData uri="http://schemas.openxmlformats.org/drawingml/2006/picture">
                      <pic:pic>
                        <pic:nvPicPr>
                          <pic:cNvPr descr="Chapter5/Figs/Plot_explain_SHSI.png" id="398" name="Picture"/>
                          <pic:cNvPicPr>
                            <a:picLocks noChangeArrowheads="1" noChangeAspect="1"/>
                          </pic:cNvPicPr>
                        </pic:nvPicPr>
                        <pic:blipFill>
                          <a:blip r:embed="rId396"/>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9"/>
        </w:tc>
      </w:tr>
    </w:tbl>
    <w:bookmarkEnd w:id="400"/>
    <w:bookmarkEnd w:id="401"/>
    <w:bookmarkEnd w:id="402"/>
    <w:bookmarkStart w:id="417"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6" w:name="fig-quiberonMap_h"/>
          <w:p>
            <w:pPr>
              <w:pStyle w:val="Compact"/>
              <w:jc w:val="center"/>
            </w:pPr>
            <w:r>
              <w:drawing>
                <wp:inline>
                  <wp:extent cx="5646420" cy="7238999"/>
                  <wp:effectExtent b="0" l="0" r="0" t="0"/>
                  <wp:docPr descr="" title="" id="404" name="Picture"/>
                  <a:graphic>
                    <a:graphicData uri="http://schemas.openxmlformats.org/drawingml/2006/picture">
                      <pic:pic>
                        <pic:nvPicPr>
                          <pic:cNvPr descr="Chapter5/Figs/Quiberon_map.png" id="405" name="Picture"/>
                          <pic:cNvPicPr>
                            <a:picLocks noChangeArrowheads="1" noChangeAspect="1"/>
                          </pic:cNvPicPr>
                        </pic:nvPicPr>
                        <pic:blipFill>
                          <a:blip r:embed="rId403"/>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 EPSG: 32630.</w:t>
            </w:r>
          </w:p>
          <w:bookmarkEnd w:id="406"/>
        </w:tc>
      </w:tr>
    </w:tbl>
    <w:tbl>
      <w:tblPr>
        <w:tblStyle w:val="Table"/>
        <w:tblW w:type="pct" w:w="5000"/>
        <w:tblLayout w:type="fixed"/>
        <w:tblLook w:firstRow="0" w:lastRow="0" w:firstColumn="0" w:lastColumn="0" w:noHBand="0" w:noVBand="0" w:val="0000"/>
      </w:tblPr>
      <w:tblGrid>
        <w:gridCol w:w="7920"/>
      </w:tblGrid>
      <w:tr>
        <w:tc>
          <w:tcPr/>
          <w:bookmarkStart w:id="410" w:name="fig-QuiberonImg_h"/>
          <w:p>
            <w:pPr>
              <w:pStyle w:val="Compact"/>
              <w:jc w:val="center"/>
            </w:pPr>
            <w:r>
              <w:drawing>
                <wp:inline>
                  <wp:extent cx="5646420" cy="3733115"/>
                  <wp:effectExtent b="0" l="0" r="0" t="0"/>
                  <wp:docPr descr="" title="" id="408" name="Picture"/>
                  <a:graphic>
                    <a:graphicData uri="http://schemas.openxmlformats.org/drawingml/2006/picture">
                      <pic:pic>
                        <pic:nvPicPr>
                          <pic:cNvPr descr="Chapter5/Figs/img_Quiberon.png" id="409" name="Picture"/>
                          <pic:cNvPicPr>
                            <a:picLocks noChangeArrowheads="1" noChangeAspect="1"/>
                          </pic:cNvPicPr>
                        </pic:nvPicPr>
                        <pic:blipFill>
                          <a:blip r:embed="rId407"/>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10"/>
        </w:tc>
      </w:tr>
    </w:tbl>
    <w:bookmarkStart w:id="414" w:name="temperature-data-and-hw-detection"/>
    <w:p>
      <w:pPr>
        <w:pStyle w:val="Heading4"/>
      </w:pPr>
      <w:r>
        <w:t xml:space="preserve">5.2.2.1 Temperature data and HW detection</w:t>
      </w:r>
    </w:p>
    <w:bookmarkStart w:id="411" w:name="air-temperature"/>
    <w:p>
      <w:pPr>
        <w:pStyle w:val="Heading5"/>
      </w:pPr>
      <w:r>
        <w:t xml:space="preserve">5.2.2.1.1 Air temperature</w:t>
      </w:r>
    </w:p>
    <w:p>
      <w:pPr>
        <w:pStyle w:val="FirstParagraph"/>
      </w:pPr>
      <w:r>
        <w:t xml:space="preserve">Hourly air temperature data from 1952 to 2024 (more than 395,000 observations) from a nearby weather station (Lorient-Lann Bihoue, 47°45’46”N 3°26’11”W) was retrieved from Meteo France (https://portail-api.meteofrance.fr).</w:t>
      </w:r>
    </w:p>
    <w:bookmarkEnd w:id="411"/>
    <w:bookmarkStart w:id="412" w:name="water-temperature"/>
    <w:p>
      <w:pPr>
        <w:pStyle w:val="Heading5"/>
      </w:pPr>
      <w:r>
        <w:t xml:space="preserve">5.2.2.1.2 Water temperature</w:t>
      </w:r>
    </w:p>
    <w:p>
      <w:pPr>
        <w:pStyle w:val="FirstParagraph"/>
      </w:pPr>
      <w:r>
        <w:t xml:space="preserve">Sea Surface Temperature (SST) data from 1982-2022 over the Quiberon coastal area was downloaded from the Copernicus Marine Data Store (Copernicus Marine Environment Monitoring Service,</w:t>
      </w:r>
      <w:r>
        <w:t xml:space="preserve"> </w:t>
      </w:r>
      <w:r>
        <w:t xml:space="preserve">CMEMS (2024)</w:t>
      </w:r>
      <w:r>
        <w:t xml:space="preserve">). An area of 2 700 km² was extracted and analyzed. This area was large enough to minimize missing values caused by cloud cover and small enough to limit the influence of offshore SST stability.</w:t>
      </w:r>
    </w:p>
    <w:bookmarkEnd w:id="412"/>
    <w:bookmarkStart w:id="413"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series)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13"/>
    <w:bookmarkEnd w:id="414"/>
    <w:bookmarkStart w:id="415"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5"/>
    <w:bookmarkStart w:id="416"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w:t>
      </w:r>
      <w:r>
        <w:t xml:space="preserve"> </w:t>
      </w:r>
      <w:r>
        <w:t xml:space="preserve">(RAM, 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6"/>
    <w:bookmarkEnd w:id="417"/>
    <w:bookmarkStart w:id="418"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5 000 iterations and a warm-up of 500.</w:t>
      </w:r>
    </w:p>
    <w:bookmarkEnd w:id="418"/>
    <w:bookmarkEnd w:id="419"/>
    <w:bookmarkStart w:id="454" w:name="results-3"/>
    <w:p>
      <w:pPr>
        <w:pStyle w:val="Heading2"/>
      </w:pPr>
      <w:r>
        <w:t xml:space="preserve">5.3 Results</w:t>
      </w:r>
    </w:p>
    <w:bookmarkStart w:id="434" w:name="laboratory-experiment-1"/>
    <w:p>
      <w:pPr>
        <w:pStyle w:val="Heading3"/>
      </w:pPr>
      <w:r>
        <w:t xml:space="preserve">5.3.1 Laboratory Experiment</w:t>
      </w:r>
    </w:p>
    <w:bookmarkStart w:id="424"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sepChr m:val=""/>
            <m:end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sepChr m:val=""/>
            <m:endChr m:val=")"/>
            <m:grow/>
          </m:dPr>
          <m:e>
            <m:r>
              <m:t>λ</m:t>
            </m:r>
          </m:e>
        </m:d>
      </m:oMath>
      <w:r>
        <w:t xml:space="preserve"> </w:t>
      </w:r>
      <w:r>
        <w:t xml:space="preserve">showed severe changes throughout the experiment. During day 1, the Treatment</w:t>
      </w:r>
      <w:r>
        <w:t xml:space="preserve"> </w:t>
      </w:r>
      <m:oMath>
        <m:r>
          <m:t>R</m:t>
        </m:r>
        <m:d>
          <m:dPr>
            <m:begChr m:val="("/>
            <m:sepChr m:val=""/>
            <m:endChr m:val=")"/>
            <m:grow/>
          </m:dPr>
          <m:e>
            <m:r>
              <m:t>λ</m:t>
            </m:r>
          </m:e>
        </m:d>
      </m:oMath>
      <w:r>
        <w:t xml:space="preserve"> </w:t>
      </w:r>
      <w:r>
        <w:t xml:space="preserve">was generally similar to the Control</w:t>
      </w:r>
      <w:r>
        <w:t xml:space="preserve"> </w:t>
      </w:r>
      <m:oMath>
        <m:r>
          <m:t>R</m:t>
        </m:r>
        <m:d>
          <m:dPr>
            <m:begChr m:val="("/>
            <m:sepChr m:val=""/>
            <m:end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sepChr m:val=""/>
            <m:end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sepChr m:val=""/>
            <m:end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23" w:name="fig-Exp_Spectra_h"/>
          <w:p>
            <w:pPr>
              <w:pStyle w:val="Compact"/>
              <w:jc w:val="center"/>
            </w:pPr>
            <w:r>
              <w:drawing>
                <wp:inline>
                  <wp:extent cx="5646420" cy="2823210"/>
                  <wp:effectExtent b="0" l="0" r="0" t="0"/>
                  <wp:docPr descr="" title="" id="421" name="Picture"/>
                  <a:graphic>
                    <a:graphicData uri="http://schemas.openxmlformats.org/drawingml/2006/picture">
                      <pic:pic>
                        <pic:nvPicPr>
                          <pic:cNvPr descr="Chapter5/Figs/plot_Spectra_exp.png" id="422" name="Picture"/>
                          <pic:cNvPicPr>
                            <a:picLocks noChangeArrowheads="1" noChangeAspect="1"/>
                          </pic:cNvPicPr>
                        </pic:nvPicPr>
                        <pic:blipFill>
                          <a:blip r:embed="rId42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23"/>
        </w:tc>
      </w:tr>
    </w:tbl>
    <w:bookmarkEnd w:id="424"/>
    <w:bookmarkStart w:id="433"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8" w:name="fig-Exp_Spectral_indices_h"/>
          <w:p>
            <w:pPr>
              <w:pStyle w:val="Compact"/>
              <w:jc w:val="center"/>
            </w:pPr>
            <w:r>
              <w:drawing>
                <wp:inline>
                  <wp:extent cx="5646420" cy="5646420"/>
                  <wp:effectExtent b="0" l="0" r="0" t="0"/>
                  <wp:docPr descr="" title="" id="426" name="Picture"/>
                  <a:graphic>
                    <a:graphicData uri="http://schemas.openxmlformats.org/drawingml/2006/picture">
                      <pic:pic>
                        <pic:nvPicPr>
                          <pic:cNvPr descr="Chapter5/Figs/merged_indices.png" id="427" name="Picture"/>
                          <pic:cNvPicPr>
                            <a:picLocks noChangeArrowheads="1" noChangeAspect="1"/>
                          </pic:cNvPicPr>
                        </pic:nvPicPr>
                        <pic:blipFill>
                          <a:blip r:embed="rId42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8"/>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32" w:name="fig-SDI_over_Time_h"/>
          <w:p>
            <w:pPr>
              <w:pStyle w:val="Compact"/>
              <w:jc w:val="center"/>
            </w:pPr>
            <w:r>
              <w:drawing>
                <wp:inline>
                  <wp:extent cx="5646420" cy="3387852"/>
                  <wp:effectExtent b="0" l="0" r="0" t="0"/>
                  <wp:docPr descr="" title="" id="430" name="Picture"/>
                  <a:graphic>
                    <a:graphicData uri="http://schemas.openxmlformats.org/drawingml/2006/picture">
                      <pic:pic>
                        <pic:nvPicPr>
                          <pic:cNvPr descr="Chapter5/Figs/SDI_exp_overtime.png" id="431" name="Picture"/>
                          <pic:cNvPicPr>
                            <a:picLocks noChangeArrowheads="1" noChangeAspect="1"/>
                          </pic:cNvPicPr>
                        </pic:nvPicPr>
                        <pic:blipFill>
                          <a:blip r:embed="rId42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32"/>
        </w:tc>
      </w:tr>
    </w:tbl>
    <w:bookmarkEnd w:id="433"/>
    <w:bookmarkEnd w:id="434"/>
    <w:bookmarkStart w:id="453" w:name="X8f6520fb2cd603cd376acac4efc8d29f28e0a7a"/>
    <w:p>
      <w:pPr>
        <w:pStyle w:val="Heading3"/>
      </w:pPr>
      <w:r>
        <w:t xml:space="preserve">5.3.2 HW of September 2021 in Quiberon, South Brittany</w:t>
      </w:r>
    </w:p>
    <w:bookmarkStart w:id="439"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8" w:name="fig-S2_comparison"/>
          <w:p>
            <w:pPr>
              <w:pStyle w:val="Compact"/>
              <w:jc w:val="center"/>
            </w:pPr>
            <w:r>
              <w:drawing>
                <wp:inline>
                  <wp:extent cx="5646420" cy="5268455"/>
                  <wp:effectExtent b="0" l="0" r="0" t="0"/>
                  <wp:docPr descr="" title="" id="436" name="Picture"/>
                  <a:graphic>
                    <a:graphicData uri="http://schemas.openxmlformats.org/drawingml/2006/picture">
                      <pic:pic>
                        <pic:nvPicPr>
                          <pic:cNvPr descr="Chapter5/Figs/Heatwaves_S2_plot.png" id="437" name="Picture"/>
                          <pic:cNvPicPr>
                            <a:picLocks noChangeArrowheads="1" noChangeAspect="1"/>
                          </pic:cNvPicPr>
                        </pic:nvPicPr>
                        <pic:blipFill>
                          <a:blip r:embed="rId435"/>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8"/>
        </w:tc>
      </w:tr>
    </w:tbl>
    <w:bookmarkEnd w:id="439"/>
    <w:bookmarkStart w:id="452"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43" w:name="fig-NDVI_GLI_SPC"/>
          <w:p>
            <w:pPr>
              <w:pStyle w:val="Compact"/>
              <w:jc w:val="center"/>
            </w:pPr>
            <w:r>
              <w:drawing>
                <wp:inline>
                  <wp:extent cx="5646420" cy="2823210"/>
                  <wp:effectExtent b="0" l="0" r="0" t="0"/>
                  <wp:docPr descr="" title="" id="441" name="Picture"/>
                  <a:graphic>
                    <a:graphicData uri="http://schemas.openxmlformats.org/drawingml/2006/picture">
                      <pic:pic>
                        <pic:nvPicPr>
                          <pic:cNvPr descr="Chapter5/Figs/SHSI_S2.png" id="442" name="Picture"/>
                          <pic:cNvPicPr>
                            <a:picLocks noChangeArrowheads="1" noChangeAspect="1"/>
                          </pic:cNvPicPr>
                        </pic:nvPicPr>
                        <pic:blipFill>
                          <a:blip r:embed="rId44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43"/>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7" w:name="fig-Map_darkening_Bathy"/>
          <w:p>
            <w:pPr>
              <w:pStyle w:val="Compact"/>
              <w:jc w:val="center"/>
            </w:pPr>
            <w:r>
              <w:drawing>
                <wp:inline>
                  <wp:extent cx="5646420" cy="8478108"/>
                  <wp:effectExtent b="0" l="0" r="0" t="0"/>
                  <wp:docPr descr="" title="" id="445" name="Picture"/>
                  <a:graphic>
                    <a:graphicData uri="http://schemas.openxmlformats.org/drawingml/2006/picture">
                      <pic:pic>
                        <pic:nvPicPr>
                          <pic:cNvPr descr="Chapter5/Figs/SHSI_S2_map.png" id="446" name="Picture"/>
                          <pic:cNvPicPr>
                            <a:picLocks noChangeArrowheads="1" noChangeAspect="1"/>
                          </pic:cNvPicPr>
                        </pic:nvPicPr>
                        <pic:blipFill>
                          <a:blip r:embed="rId444"/>
                          <a:stretch>
                            <a:fillRect/>
                          </a:stretch>
                        </pic:blipFill>
                        <pic:spPr bwMode="auto">
                          <a:xfrm>
                            <a:off x="0" y="0"/>
                            <a:ext cx="5646420" cy="84781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(C ; 6th of September 2021) and After (D ; 8th of October 2021) the HW and SHSI applied to the same Sentinel-2 images Before (B), During (D) and After (F) the HW.</w:t>
            </w:r>
          </w:p>
          <w:bookmarkEnd w:id="447"/>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51" w:name="fig-GAM_Emersion"/>
          <w:p>
            <w:pPr>
              <w:pStyle w:val="Compact"/>
              <w:jc w:val="center"/>
            </w:pPr>
            <w:r>
              <w:drawing>
                <wp:inline>
                  <wp:extent cx="5646420" cy="2823210"/>
                  <wp:effectExtent b="0" l="0" r="0" t="0"/>
                  <wp:docPr descr="" title="" id="449" name="Picture"/>
                  <a:graphic>
                    <a:graphicData uri="http://schemas.openxmlformats.org/drawingml/2006/picture">
                      <pic:pic>
                        <pic:nvPicPr>
                          <pic:cNvPr descr="Chapter5/Figs/GAM_emersion.png" id="450" name="Picture"/>
                          <pic:cNvPicPr>
                            <a:picLocks noChangeArrowheads="1" noChangeAspect="1"/>
                          </pic:cNvPicPr>
                        </pic:nvPicPr>
                        <pic:blipFill>
                          <a:blip r:embed="rId44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51"/>
        </w:tc>
      </w:tr>
    </w:tbl>
    <w:bookmarkEnd w:id="452"/>
    <w:bookmarkEnd w:id="453"/>
    <w:bookmarkEnd w:id="454"/>
    <w:bookmarkStart w:id="458" w:name="discussion-3"/>
    <w:p>
      <w:pPr>
        <w:pStyle w:val="Heading2"/>
      </w:pPr>
      <w:r>
        <w:t xml:space="preserve">5.4 Discussion</w:t>
      </w:r>
    </w:p>
    <w:bookmarkStart w:id="455"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PlanetScope, Sentinel-2, Pleiades-Neo, WorldView-2/3,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5"/>
    <w:bookmarkStart w:id="456"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(lowest astronomical tides).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6"/>
    <w:bookmarkStart w:id="457"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 These compounded effects may initiate a feedback loop that exacerbates ecosystem degradation, particularly under the combined pressures of climate change and sea level rise.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7"/>
    <w:bookmarkEnd w:id="458"/>
    <w:bookmarkStart w:id="459"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9"/>
    <w:bookmarkStart w:id="475" w:name="annexes-1"/>
    <w:p>
      <w:pPr>
        <w:pStyle w:val="Heading2"/>
      </w:pPr>
      <w:r>
        <w:t xml:space="preserve">5.6 Annexes</w:t>
      </w:r>
    </w:p>
    <w:bookmarkStart w:id="464"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63" w:name="fig-temperatureAnnexe"/>
          <w:p>
            <w:pPr>
              <w:pStyle w:val="Compact"/>
              <w:jc w:val="center"/>
            </w:pPr>
            <w:r>
              <w:drawing>
                <wp:inline>
                  <wp:extent cx="4754880" cy="4754880"/>
                  <wp:effectExtent b="0" l="0" r="0" t="0"/>
                  <wp:docPr descr="" title="" id="461" name="Picture"/>
                  <a:graphic>
                    <a:graphicData uri="http://schemas.openxmlformats.org/drawingml/2006/picture">
                      <pic:pic>
                        <pic:nvPicPr>
                          <pic:cNvPr descr="Chapter5/Figs/Temperature_compare.png" id="462" name="Picture"/>
                          <pic:cNvPicPr>
                            <a:picLocks noChangeArrowheads="1" noChangeAspect="1"/>
                          </pic:cNvPicPr>
                        </pic:nvPicPr>
                        <pic:blipFill>
                          <a:blip r:embed="rId460"/>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63"/>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64"/>
    <w:bookmarkStart w:id="469" w:name="sec-AnnexeB_h"/>
    <w:p>
      <w:pPr>
        <w:pStyle w:val="Heading3"/>
      </w:pPr>
      <w:r>
        <w:t xml:space="preserve">5.6.2 Annexes B - Outputs of GLMM</w:t>
      </w:r>
    </w:p>
    <w:p>
      <w:pPr>
        <w:pStyle w:val="FirstParagraph"/>
      </w:pPr>
      <w:r>
        <w:t xml:space="preserve">This annex shows the results of gams modelling the change of Radiometric indices with duration of experiments.</w:t>
      </w:r>
    </w:p>
    <w:tbl>
      <w:tblPr>
        <w:tblStyle w:val="Table"/>
        <w:tblW w:type="pct" w:w="5000"/>
        <w:tblLayout w:type="fixed"/>
        <w:tblLook w:firstRow="0" w:lastRow="0" w:firstColumn="0" w:lastColumn="0" w:noHBand="0" w:noVBand="0" w:val="0000"/>
      </w:tblPr>
      <w:tblGrid>
        <w:gridCol w:w="7920"/>
      </w:tblGrid>
      <w:tr>
        <w:tc>
          <w:tcPr/>
          <w:bookmarkStart w:id="468"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p>
            <w:pPr>
              <w:jc w:val="center"/>
            </w:pPr>
            <w:r>
              <w:drawing>
                <wp:inline>
                  <wp:extent cx="5943600" cy="1595207"/>
                  <wp:effectExtent b="0" l="0" r="0" t="0"/>
                  <wp:docPr descr="" title="" id="466" name="Picture"/>
                  <a:graphic>
                    <a:graphicData uri="http://schemas.openxmlformats.org/drawingml/2006/picture">
                      <pic:pic>
                        <pic:nvPicPr>
                          <pic:cNvPr descr="Chapter5/Figs/table_gams1.png" id="467" name="Picture"/>
                          <pic:cNvPicPr>
                            <a:picLocks noChangeArrowheads="1" noChangeAspect="1"/>
                          </pic:cNvPicPr>
                        </pic:nvPicPr>
                        <pic:blipFill>
                          <a:blip r:embed="rId465"/>
                          <a:stretch>
                            <a:fillRect/>
                          </a:stretch>
                        </pic:blipFill>
                        <pic:spPr bwMode="auto">
                          <a:xfrm>
                            <a:off x="0" y="0"/>
                            <a:ext cx="5943600" cy="1595207"/>
                          </a:xfrm>
                          <a:prstGeom prst="rect">
                            <a:avLst/>
                          </a:prstGeom>
                          <a:noFill/>
                          <a:ln w="9525">
                            <a:noFill/>
                            <a:headEnd/>
                            <a:tailEnd/>
                          </a:ln>
                        </pic:spPr>
                      </pic:pic>
                    </a:graphicData>
                  </a:graphic>
                </wp:inline>
              </w:drawing>
            </w:r>
          </w:p>
          <w:bookmarkEnd w:id="468"/>
        </w:tc>
      </w:tr>
    </w:tbl>
    <w:p>
      <w:r>
        <w:br w:type="page"/>
      </w:r>
    </w:p>
    <w:bookmarkEnd w:id="469"/>
    <w:bookmarkStart w:id="474" w:name="sec-AnnexeC_h"/>
    <w:p>
      <w:pPr>
        <w:pStyle w:val="Heading3"/>
      </w:pPr>
      <w:r>
        <w:t xml:space="preserve">5.6.3 Annexes C - Outputs of GAM</w:t>
      </w:r>
    </w:p>
    <w:p>
      <w:pPr>
        <w:pStyle w:val="FirstParagraph"/>
      </w:pPr>
      <w:r>
        <w:t xml:space="preserve">This annex shows the results of gams modelling the change of SHSI with exposure times</w:t>
      </w:r>
    </w:p>
    <w:tbl>
      <w:tblPr>
        <w:tblStyle w:val="Table"/>
        <w:tblW w:type="pct" w:w="5000"/>
        <w:tblLayout w:type="fixed"/>
        <w:tblLook w:firstRow="0" w:lastRow="0" w:firstColumn="0" w:lastColumn="0" w:noHBand="0" w:noVBand="0" w:val="0000"/>
      </w:tblPr>
      <w:tblGrid>
        <w:gridCol w:w="7920"/>
      </w:tblGrid>
      <w:tr>
        <w:tc>
          <w:tcPr/>
          <w:bookmarkStart w:id="473"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p>
            <w:pPr>
              <w:jc w:val="center"/>
            </w:pPr>
            <w:r>
              <w:drawing>
                <wp:inline>
                  <wp:extent cx="5943600" cy="622127"/>
                  <wp:effectExtent b="0" l="0" r="0" t="0"/>
                  <wp:docPr descr="" title="" id="471" name="Picture"/>
                  <a:graphic>
                    <a:graphicData uri="http://schemas.openxmlformats.org/drawingml/2006/picture">
                      <pic:pic>
                        <pic:nvPicPr>
                          <pic:cNvPr descr="Chapter5/Figs/table_gams2.png" id="472" name="Picture"/>
                          <pic:cNvPicPr>
                            <a:picLocks noChangeArrowheads="1" noChangeAspect="1"/>
                          </pic:cNvPicPr>
                        </pic:nvPicPr>
                        <pic:blipFill>
                          <a:blip r:embed="rId470"/>
                          <a:stretch>
                            <a:fillRect/>
                          </a:stretch>
                        </pic:blipFill>
                        <pic:spPr bwMode="auto">
                          <a:xfrm>
                            <a:off x="0" y="0"/>
                            <a:ext cx="5943600" cy="622127"/>
                          </a:xfrm>
                          <a:prstGeom prst="rect">
                            <a:avLst/>
                          </a:prstGeom>
                          <a:noFill/>
                          <a:ln w="9525">
                            <a:noFill/>
                            <a:headEnd/>
                            <a:tailEnd/>
                          </a:ln>
                        </pic:spPr>
                      </pic:pic>
                    </a:graphicData>
                  </a:graphic>
                </wp:inline>
              </w:drawing>
            </w:r>
          </w:p>
          <w:bookmarkEnd w:id="473"/>
        </w:tc>
      </w:tr>
    </w:tbl>
    <w:bookmarkEnd w:id="474"/>
    <w:bookmarkEnd w:id="475"/>
    <w:bookmarkEnd w:id="476"/>
    <w:bookmarkStart w:id="502"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77" w:name="Xe8caa512237bfee3751da85c1cb4496bb715504"/>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77"/>
    <w:bookmarkStart w:id="486"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81" w:name="fig-Mapping_kappa"/>
          <w:p>
            <w:pPr>
              <w:pStyle w:val="Compact"/>
              <w:jc w:val="center"/>
            </w:pPr>
            <w:r>
              <w:drawing>
                <wp:inline>
                  <wp:extent cx="5349240" cy="5945886"/>
                  <wp:effectExtent b="0" l="0" r="0" t="0"/>
                  <wp:docPr descr="" title="" id="479" name="Picture"/>
                  <a:graphic>
                    <a:graphicData uri="http://schemas.openxmlformats.org/drawingml/2006/picture">
                      <pic:pic>
                        <pic:nvPicPr>
                          <pic:cNvPr descr="Chapter6/Figs/Kappa_mapping.jpg" id="480" name="Picture"/>
                          <pic:cNvPicPr>
                            <a:picLocks noChangeArrowheads="1" noChangeAspect="1"/>
                          </pic:cNvPicPr>
                        </pic:nvPicPr>
                        <pic:blipFill>
                          <a:blip r:embed="rId478"/>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81"/>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85" w:name="fig-Mapping_oyster"/>
          <w:p>
            <w:pPr>
              <w:pStyle w:val="Compact"/>
              <w:jc w:val="center"/>
            </w:pPr>
            <w:r>
              <w:drawing>
                <wp:inline>
                  <wp:extent cx="4334256" cy="2189073"/>
                  <wp:effectExtent b="0" l="0" r="0" t="0"/>
                  <wp:docPr descr="" title="" id="483" name="Picture"/>
                  <a:graphic>
                    <a:graphicData uri="http://schemas.openxmlformats.org/drawingml/2006/picture">
                      <pic:pic>
                        <pic:nvPicPr>
                          <pic:cNvPr descr="Chapter6/Figs/oyster_mapping.jpg" id="484" name="Picture"/>
                          <pic:cNvPicPr>
                            <a:picLocks noChangeArrowheads="1" noChangeAspect="1"/>
                          </pic:cNvPicPr>
                        </pic:nvPicPr>
                        <pic:blipFill>
                          <a:blip r:embed="rId482"/>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85"/>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86"/>
    <w:bookmarkStart w:id="499"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90" w:name="fig-WorkflowBede"/>
          <w:p>
            <w:pPr>
              <w:pStyle w:val="Compact"/>
              <w:jc w:val="center"/>
            </w:pPr>
            <w:r>
              <w:drawing>
                <wp:inline>
                  <wp:extent cx="5943600" cy="5281640"/>
                  <wp:effectExtent b="0" l="0" r="0" t="0"/>
                  <wp:docPr descr="" title="" id="488" name="Picture"/>
                  <a:graphic>
                    <a:graphicData uri="http://schemas.openxmlformats.org/drawingml/2006/picture">
                      <pic:pic>
                        <pic:nvPicPr>
                          <pic:cNvPr descr="Chapter6/Figs/WorkflowBede.jpg" id="489" name="Picture"/>
                          <pic:cNvPicPr>
                            <a:picLocks noChangeArrowheads="1" noChangeAspect="1"/>
                          </pic:cNvPicPr>
                        </pic:nvPicPr>
                        <pic:blipFill>
                          <a:blip r:embed="rId487"/>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90"/>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94" w:name="fig-PhenologyBede"/>
          <w:p>
            <w:pPr>
              <w:pStyle w:val="Compact"/>
              <w:jc w:val="center"/>
            </w:pPr>
            <w:r>
              <w:drawing>
                <wp:inline>
                  <wp:extent cx="5349240" cy="3755166"/>
                  <wp:effectExtent b="0" l="0" r="0" t="0"/>
                  <wp:docPr descr="" title="" id="492" name="Picture"/>
                  <a:graphic>
                    <a:graphicData uri="http://schemas.openxmlformats.org/drawingml/2006/picture">
                      <pic:pic>
                        <pic:nvPicPr>
                          <pic:cNvPr descr="Chapter6/Figs/PhenologyBede.jpg" id="493" name="Picture"/>
                          <pic:cNvPicPr>
                            <a:picLocks noChangeArrowheads="1" noChangeAspect="1"/>
                          </pic:cNvPicPr>
                        </pic:nvPicPr>
                        <pic:blipFill>
                          <a:blip r:embed="rId491"/>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w:t>
            </w:r>
            <w:r>
              <w:rPr>
                <w:vertAlign w:val="superscript"/>
              </w:rPr>
              <w:t xml:space="preserve">2</w:t>
            </w:r>
            <w:r>
              <w:t xml:space="preserve">). From</w:t>
            </w:r>
            <w:r>
              <w:t xml:space="preserve"> </w:t>
            </w:r>
            <w:r>
              <w:t xml:space="preserve">Davies et al. (2024b)</w:t>
            </w:r>
            <w:r>
              <w:t xml:space="preserve">.</w:t>
            </w:r>
          </w:p>
          <w:bookmarkEnd w:id="494"/>
        </w:tc>
      </w:tr>
    </w:tbl>
    <w:p>
      <w:pPr>
        <w:pStyle w:val="BodyText"/>
      </w:pPr>
      <w:r>
        <w:t xml:space="preserve">The Intertidal Classification of Europe: Categorising Reflectance of Emerged Areas of Marine vegetation with Sentinel-2</w:t>
      </w:r>
      <w:r>
        <w:t xml:space="preserve"> </w:t>
      </w:r>
      <w:r>
        <w:t xml:space="preserve">(ICE CREAMS, Davies et al., 2024a, 2024b)</w:t>
      </w:r>
      <w:r>
        <w:t xml:space="preserve"> </w:t>
      </w:r>
      <w:r>
        <w:t xml:space="preserve">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98" w:name="fig-TrendsBede"/>
          <w:p>
            <w:pPr>
              <w:pStyle w:val="Compact"/>
              <w:jc w:val="center"/>
            </w:pPr>
            <w:r>
              <w:drawing>
                <wp:inline>
                  <wp:extent cx="5349240" cy="6410624"/>
                  <wp:effectExtent b="0" l="0" r="0" t="0"/>
                  <wp:docPr descr="" title="" id="496" name="Picture"/>
                  <a:graphic>
                    <a:graphicData uri="http://schemas.openxmlformats.org/drawingml/2006/picture">
                      <pic:pic>
                        <pic:nvPicPr>
                          <pic:cNvPr descr="Chapter6/Figs/TrendsBede.jpg" id="497" name="Picture"/>
                          <pic:cNvPicPr>
                            <a:picLocks noChangeArrowheads="1" noChangeAspect="1"/>
                          </pic:cNvPicPr>
                        </pic:nvPicPr>
                        <pic:blipFill>
                          <a:blip r:embed="rId495"/>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w:t>
            </w:r>
            <w:r>
              <w:rPr>
                <w:vertAlign w:val="superscript"/>
              </w:rPr>
              <w:t xml:space="preserve">2</w:t>
            </w:r>
            <w:r>
              <w:t xml:space="preserve"> </w:t>
            </w:r>
            <w:r>
              <w:t xml:space="preserve">y</w:t>
            </w:r>
            <w:r>
              <w:rPr>
                <w:vertAlign w:val="superscript"/>
              </w:rPr>
              <w:t xml:space="preserve">−1</w:t>
            </w:r>
            <w:r>
              <w:t xml:space="preserve"> </w:t>
            </w:r>
            <w:r>
              <w:t xml:space="preserve">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98"/>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99"/>
    <w:bookmarkStart w:id="500"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bathymetric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500"/>
    <w:bookmarkStart w:id="501"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w:t>
      </w:r>
      <w:r>
        <w:t xml:space="preserve"> </w:t>
      </w:r>
      <w:r>
        <w:rPr>
          <w:i/>
          <w:iCs/>
        </w:rPr>
        <w:t xml:space="preserve">Zostera noltei</w:t>
      </w:r>
      <w:r>
        <w:t xml:space="preserve"> </w:t>
      </w:r>
      <w:r>
        <w:t xml:space="preserve">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manned/unmanned airborne images are powerful communication tools for engaging the public and authorities by providing visual, data-rich, and easily interpretable information. They can foster greater public support for restoration initiatives.</w:t>
      </w:r>
    </w:p>
    <w:bookmarkEnd w:id="501"/>
    <w:bookmarkEnd w:id="502"/>
    <w:bookmarkStart w:id="1008" w:name="references"/>
    <w:p>
      <w:pPr>
        <w:pStyle w:val="Heading1"/>
      </w:pPr>
      <w:r>
        <w:t xml:space="preserve">References</w:t>
      </w:r>
    </w:p>
    <w:bookmarkStart w:id="1007" w:name="refs"/>
    <w:bookmarkStart w:id="503" w:name="ref-abiodun2018state"/>
    <w:p>
      <w:pPr>
        <w:pStyle w:val="Bibliography"/>
      </w:pPr>
      <w:r>
        <w:t xml:space="preserve">Abiodun, O.I., Jantan, A., Omolara, A.E., Dada, K.V., Mohamed, N.A., Arshad, H., 2018. State-of-the-art in artificial neural network applications: A survey. Heliyon 4.</w:t>
      </w:r>
    </w:p>
    <w:bookmarkEnd w:id="503"/>
    <w:bookmarkStart w:id="504"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504"/>
    <w:bookmarkStart w:id="505" w:name="ref-adade2021"/>
    <w:p>
      <w:pPr>
        <w:pStyle w:val="Bibliography"/>
      </w:pPr>
      <w:r>
        <w:t xml:space="preserve">Adade, R., Aibinu, A.M., Ekumah, B., Asaana, J., 2021. Unmanned aerial vehicle (UAV) applications in coastal zone management—a review. Environmental Monitoring and Assessment 193, 1–12.</w:t>
      </w:r>
    </w:p>
    <w:bookmarkEnd w:id="505"/>
    <w:bookmarkStart w:id="507" w:name="ref-agisoft"/>
    <w:p>
      <w:pPr>
        <w:pStyle w:val="Bibliography"/>
      </w:pPr>
      <w:r>
        <w:t xml:space="preserve">Agisoft, 2019.</w:t>
      </w:r>
      <w:r>
        <w:t xml:space="preserve"> </w:t>
      </w:r>
      <w:hyperlink r:id="rId506">
        <w:r>
          <w:rPr>
            <w:rStyle w:val="Hyperlink"/>
          </w:rPr>
          <w:t xml:space="preserve">Agisoft metashape</w:t>
        </w:r>
      </w:hyperlink>
      <w:r>
        <w:t xml:space="preserve">.</w:t>
      </w:r>
    </w:p>
    <w:bookmarkEnd w:id="507"/>
    <w:bookmarkStart w:id="508" w:name="ref-ahmed2016coastal"/>
    <w:p>
      <w:pPr>
        <w:pStyle w:val="Bibliography"/>
      </w:pPr>
      <w:r>
        <w:t xml:space="preserve">Ahmed, N., Glaser, M., 2016. Coastal aquaculture, mangrove deforestation and blue carbon emissions: Is REDD+ a solution? Marine Policy 66, 58–66.</w:t>
      </w:r>
    </w:p>
    <w:bookmarkEnd w:id="508"/>
    <w:bookmarkStart w:id="509"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509"/>
    <w:bookmarkStart w:id="510" w:name="ref-alongi2012carbon"/>
    <w:p>
      <w:pPr>
        <w:pStyle w:val="Bibliography"/>
      </w:pPr>
      <w:r>
        <w:t xml:space="preserve">Alongi, D.M., 2012. Carbon sequestration in mangrove forests. Carbon management 3, 313–322.</w:t>
      </w:r>
    </w:p>
    <w:bookmarkEnd w:id="510"/>
    <w:bookmarkStart w:id="51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11"/>
    <w:bookmarkStart w:id="512"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12"/>
    <w:bookmarkStart w:id="513" w:name="ref-arim2006spread"/>
    <w:p>
      <w:pPr>
        <w:pStyle w:val="Bibliography"/>
      </w:pPr>
      <w:r>
        <w:t xml:space="preserve">Arim, M., Abades, S.R., Neill, P.E., Lima, M., Marquet, P.A., 2006. Spread dynamics of invasive species. Proceedings of the National Academy of Sciences 103, 374–378.</w:t>
      </w:r>
    </w:p>
    <w:bookmarkEnd w:id="513"/>
    <w:bookmarkStart w:id="514"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14"/>
    <w:bookmarkStart w:id="515" w:name="ref-armitage2016carbon"/>
    <w:p>
      <w:pPr>
        <w:pStyle w:val="Bibliography"/>
      </w:pPr>
      <w:r>
        <w:t xml:space="preserve">Armitage, A., Fourqurean, J.W., 2016. Carbon storage in seagrass soils: Long-term nutrient history exceeds the effects of near-term nutrient enrichment. Biogeosciences 13, 313–321.</w:t>
      </w:r>
    </w:p>
    <w:bookmarkEnd w:id="515"/>
    <w:bookmarkStart w:id="517" w:name="ref-ASI2020"/>
    <w:p>
      <w:pPr>
        <w:pStyle w:val="Bibliography"/>
      </w:pPr>
      <w:r>
        <w:t xml:space="preserve">ASI, n.d.</w:t>
      </w:r>
      <w:r>
        <w:t xml:space="preserve"> </w:t>
      </w:r>
      <w:hyperlink r:id="rId516">
        <w:r>
          <w:rPr>
            <w:rStyle w:val="Hyperlink"/>
          </w:rPr>
          <w:t xml:space="preserve">PRISMA products specification document issue 2.3 date 12/03/2020</w:t>
        </w:r>
      </w:hyperlink>
      <w:r>
        <w:t xml:space="preserve">.</w:t>
      </w:r>
    </w:p>
    <w:bookmarkEnd w:id="517"/>
    <w:bookmarkStart w:id="518" w:name="ref-baiocchi2024satellite"/>
    <w:p>
      <w:pPr>
        <w:pStyle w:val="Bibliography"/>
      </w:pPr>
      <w:r>
        <w:t xml:space="preserve">Baiocchi, V., Cianfanelli, F., Nocerino, E., others, 2024. Satellite images and bathymetric LiDAR for mapping seagrass meadows: An overview. TRENDS IN EARTH OBSERVATION 87–92.</w:t>
      </w:r>
    </w:p>
    <w:bookmarkEnd w:id="518"/>
    <w:bookmarkStart w:id="51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19"/>
    <w:bookmarkStart w:id="5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20"/>
    <w:bookmarkStart w:id="521" w:name="ref-barbier2019value"/>
    <w:p>
      <w:pPr>
        <w:pStyle w:val="Bibliography"/>
      </w:pPr>
      <w:r>
        <w:t xml:space="preserve">Barbier, E.B., 2019. The value of coastal wetland ecosystem services, in: Coastal Wetlands. Elsevier, pp. 947–964.</w:t>
      </w:r>
    </w:p>
    <w:bookmarkEnd w:id="521"/>
    <w:bookmarkStart w:id="522" w:name="ref-barbier2015valuing"/>
    <w:p>
      <w:pPr>
        <w:pStyle w:val="Bibliography"/>
      </w:pPr>
      <w:r>
        <w:t xml:space="preserve">Barbier, E.B., 2015. Valuing the storm protection service of estuarine and coastal ecosystems. Ecosystem Services 11, 32–38.</w:t>
      </w:r>
    </w:p>
    <w:bookmarkEnd w:id="522"/>
    <w:bookmarkStart w:id="523" w:name="ref-barbier2011value"/>
    <w:p>
      <w:pPr>
        <w:pStyle w:val="Bibliography"/>
      </w:pPr>
      <w:r>
        <w:t xml:space="preserve">Barbier, E.B., Hacker, S.D., Kennedy, C., Koch, E.W., Stier, A.C., Silliman, B.R., 2011. The value of estuarine and coastal ecosystem services. Ecological monographs 81, 169–193.</w:t>
      </w:r>
    </w:p>
    <w:bookmarkEnd w:id="523"/>
    <w:bookmarkStart w:id="524" w:name="ref-Bargain2012"/>
    <w:p>
      <w:pPr>
        <w:pStyle w:val="Bibliography"/>
      </w:pPr>
      <w:r>
        <w:t xml:space="preserve">Bargain, A., Robin, M., Le Men, E., Huete, A., Barillé, L., 2012. Spectral response of the seagrass zostera noltii with different sediment backgrounds. Aquatic Botany 98, 45–56.</w:t>
      </w:r>
    </w:p>
    <w:bookmarkEnd w:id="524"/>
    <w:bookmarkStart w:id="526"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25">
        <w:r>
          <w:rPr>
            <w:rStyle w:val="Hyperlink"/>
          </w:rPr>
          <w:t xml:space="preserve">https://doi.org/10.1016/j.jembe.2013.04.012</w:t>
        </w:r>
      </w:hyperlink>
    </w:p>
    <w:bookmarkEnd w:id="526"/>
    <w:bookmarkStart w:id="528"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27">
        <w:r>
          <w:rPr>
            <w:rStyle w:val="Hyperlink"/>
          </w:rPr>
          <w:t xml:space="preserve">https://doi.org/10.1016/j.rse.2010.12.008</w:t>
        </w:r>
      </w:hyperlink>
    </w:p>
    <w:bookmarkEnd w:id="528"/>
    <w:bookmarkStart w:id="530"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29">
        <w:r>
          <w:rPr>
            <w:rStyle w:val="Hyperlink"/>
          </w:rPr>
          <w:t xml:space="preserve">https://doi.org/10.1016/j.aquabot.2009.11.006</w:t>
        </w:r>
      </w:hyperlink>
    </w:p>
    <w:bookmarkEnd w:id="530"/>
    <w:bookmarkStart w:id="531"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31"/>
    <w:bookmarkStart w:id="532"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32"/>
    <w:bookmarkStart w:id="533" w:name="ref-beach1997vivo"/>
    <w:p>
      <w:pPr>
        <w:pStyle w:val="Bibliography"/>
      </w:pPr>
      <w:r>
        <w:t xml:space="preserve">Beach, K., Borgeas, H., Nishimura, N., Smith, C., 1997. In vivo absorbance spectra and the ecophysiology of reef macroalgae. Coral Reefs 16, 21–28.</w:t>
      </w:r>
    </w:p>
    <w:bookmarkEnd w:id="533"/>
    <w:bookmarkStart w:id="535"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34">
        <w:r>
          <w:rPr>
            <w:rStyle w:val="Hyperlink"/>
          </w:rPr>
          <w:t xml:space="preserve">https://doi.org/10.1007/s12237-021-00949-8</w:t>
        </w:r>
      </w:hyperlink>
    </w:p>
    <w:bookmarkEnd w:id="535"/>
    <w:bookmarkStart w:id="536"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36"/>
    <w:bookmarkStart w:id="537" w:name="ref-bendor2006spatial"/>
    <w:p>
      <w:pPr>
        <w:pStyle w:val="Bibliography"/>
      </w:pPr>
      <w:r>
        <w:t xml:space="preserve">BenDor, T.K., Metcalf, S.S., 2006. The spatial dynamics of invasive species spread. System Dynamics Review: The Journal of the System Dynamics Society 22, 27–50.</w:t>
      </w:r>
    </w:p>
    <w:bookmarkEnd w:id="537"/>
    <w:bookmarkStart w:id="538"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38"/>
    <w:bookmarkStart w:id="53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39"/>
    <w:bookmarkStart w:id="54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40">
        <w:r>
          <w:rPr>
            <w:rStyle w:val="Hyperlink"/>
          </w:rPr>
          <w:t xml:space="preserve">https://doi.org/10.1016/j.seares.2014.02.014</w:t>
        </w:r>
      </w:hyperlink>
    </w:p>
    <w:bookmarkEnd w:id="541"/>
    <w:bookmarkStart w:id="542" w:name="ref-blum2009drowning"/>
    <w:p>
      <w:pPr>
        <w:pStyle w:val="Bibliography"/>
      </w:pPr>
      <w:r>
        <w:t xml:space="preserve">Blum, M.D., Roberts, H.H., 2009. Drowning of the mississippi delta due to insufficient sediment supply and global sea-level rise. Nature geoscience 2, 488–491.</w:t>
      </w:r>
    </w:p>
    <w:bookmarkEnd w:id="542"/>
    <w:bookmarkStart w:id="543"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43"/>
    <w:bookmarkStart w:id="544"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44"/>
    <w:bookmarkStart w:id="545" w:name="ref-borum2004european"/>
    <w:p>
      <w:pPr>
        <w:pStyle w:val="Bibliography"/>
      </w:pPr>
      <w:r>
        <w:t xml:space="preserve">Borum, J., Duarte, C.M., Krause-Jensen, D., Greve, T.M., 2004. European seagrasses: An introduction to monitoring and management. Monitoring; Managing of European Seagrasses Project.</w:t>
      </w:r>
    </w:p>
    <w:bookmarkEnd w:id="545"/>
    <w:bookmarkStart w:id="546"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46"/>
    <w:bookmarkStart w:id="547"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47"/>
    <w:bookmarkStart w:id="548" w:name="ref-breiman2001random"/>
    <w:p>
      <w:pPr>
        <w:pStyle w:val="Bibliography"/>
      </w:pPr>
      <w:r>
        <w:t xml:space="preserve">Breiman, L., 2001. Random forests. Machine learning 45, 5–32.</w:t>
      </w:r>
    </w:p>
    <w:bookmarkEnd w:id="548"/>
    <w:bookmarkStart w:id="549" w:name="ref-bridgham2006carbon"/>
    <w:p>
      <w:pPr>
        <w:pStyle w:val="Bibliography"/>
      </w:pPr>
      <w:r>
        <w:t xml:space="preserve">Bridgham, S.D., Megonigal, J.P., Keller, J.K., Bliss, N.B., Trettin, C., 2006. The carbon balance of north american wetlands. Wetlands 26, 889–916.</w:t>
      </w:r>
    </w:p>
    <w:bookmarkEnd w:id="549"/>
    <w:bookmarkStart w:id="551" w:name="ref-Brondizio2019"/>
    <w:p>
      <w:pPr>
        <w:pStyle w:val="Bibliography"/>
      </w:pPr>
      <w:r>
        <w:t xml:space="preserve">Brondízio, E.S., Settele, J., Díaz, S., Ngo, H.T.(eds)., 2019.</w:t>
      </w:r>
      <w:r>
        <w:t xml:space="preserve"> </w:t>
      </w:r>
      <w:hyperlink r:id="rId550">
        <w:r>
          <w:rPr>
            <w:rStyle w:val="Hyperlink"/>
          </w:rPr>
          <w:t xml:space="preserve">IPBES (2019), Global assessment report of the Intergovernmental Science-Policy Platform on Biodiversity and Ecosystem Services</w:t>
        </w:r>
      </w:hyperlink>
      <w:r>
        <w:t xml:space="preserve">.</w:t>
      </w:r>
    </w:p>
    <w:bookmarkEnd w:id="551"/>
    <w:bookmarkStart w:id="552"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52"/>
    <w:bookmarkStart w:id="55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53">
        <w:r>
          <w:rPr>
            <w:rStyle w:val="Hyperlink"/>
          </w:rPr>
          <w:t xml:space="preserve">https://doi.org/10.3390/RS14020307</w:t>
        </w:r>
      </w:hyperlink>
    </w:p>
    <w:bookmarkEnd w:id="554"/>
    <w:bookmarkStart w:id="55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55"/>
    <w:bookmarkStart w:id="55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56"/>
    <w:bookmarkStart w:id="55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57">
        <w:r>
          <w:rPr>
            <w:rStyle w:val="Hyperlink"/>
          </w:rPr>
          <w:t xml:space="preserve">https://doi.org/10.18637/jss.v100.i05</w:t>
        </w:r>
      </w:hyperlink>
    </w:p>
    <w:bookmarkEnd w:id="558"/>
    <w:bookmarkStart w:id="56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59">
        <w:r>
          <w:rPr>
            <w:rStyle w:val="Hyperlink"/>
          </w:rPr>
          <w:t xml:space="preserve">https://doi.org/10.32614/RJ-2018-017</w:t>
        </w:r>
      </w:hyperlink>
    </w:p>
    <w:bookmarkEnd w:id="560"/>
    <w:bookmarkStart w:id="56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61">
        <w:r>
          <w:rPr>
            <w:rStyle w:val="Hyperlink"/>
          </w:rPr>
          <w:t xml:space="preserve">https://doi.org/10.18637/jss.v080.i01</w:t>
        </w:r>
      </w:hyperlink>
    </w:p>
    <w:bookmarkEnd w:id="562"/>
    <w:bookmarkStart w:id="56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63"/>
    <w:bookmarkStart w:id="56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64"/>
    <w:bookmarkStart w:id="56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65"/>
    <w:bookmarkStart w:id="567" w:name="ref-Cao2017"/>
    <w:p>
      <w:pPr>
        <w:pStyle w:val="Bibliography"/>
      </w:pPr>
      <w:r>
        <w:t xml:space="preserve">Cao, F., Yang, Z., Ren, J., Jiang, M., Ling, W.-K., 2017.</w:t>
      </w:r>
      <w:r>
        <w:t xml:space="preserve"> </w:t>
      </w:r>
      <w:hyperlink r:id="rId566">
        <w:r>
          <w:rPr>
            <w:rStyle w:val="Hyperlink"/>
          </w:rPr>
          <w:t xml:space="preserve">Does Normalization Methods Play a Role for Hyperspectral Image Classification?</w:t>
        </w:r>
      </w:hyperlink>
      <w:r>
        <w:t xml:space="preserve"> </w:t>
      </w:r>
      <w:r>
        <w:t xml:space="preserve">2–7.</w:t>
      </w:r>
    </w:p>
    <w:bookmarkEnd w:id="567"/>
    <w:bookmarkStart w:id="568"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68"/>
    <w:bookmarkStart w:id="56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69"/>
    <w:bookmarkStart w:id="570"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70"/>
    <w:bookmarkStart w:id="572"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71">
        <w:r>
          <w:rPr>
            <w:rStyle w:val="Hyperlink"/>
          </w:rPr>
          <w:t xml:space="preserve">https://doi.org/10.18637/jss.v076.i01</w:t>
        </w:r>
      </w:hyperlink>
    </w:p>
    <w:bookmarkEnd w:id="572"/>
    <w:bookmarkStart w:id="57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73"/>
    <w:bookmarkStart w:id="57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74">
        <w:r>
          <w:rPr>
            <w:rStyle w:val="Hyperlink"/>
          </w:rPr>
          <w:t xml:space="preserve">https://doi.org/10.1016/j.csr.2013.01.010</w:t>
        </w:r>
      </w:hyperlink>
    </w:p>
    <w:bookmarkEnd w:id="575"/>
    <w:bookmarkStart w:id="57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76">
        <w:r>
          <w:rPr>
            <w:rStyle w:val="Hyperlink"/>
          </w:rPr>
          <w:t xml:space="preserve">https://doi.org/10.1007/s00227-012-1987-5</w:t>
        </w:r>
      </w:hyperlink>
    </w:p>
    <w:bookmarkEnd w:id="577"/>
    <w:bookmarkStart w:id="578" w:name="ref-casella2020"/>
    <w:p>
      <w:pPr>
        <w:pStyle w:val="Bibliography"/>
      </w:pPr>
      <w:r>
        <w:t xml:space="preserve">Casella, E., Drechsel, J., Winter, C., Benninghoff, M., Rovere, A., 2020. Accuracy of sand beach topography surveying by drones and photogrammetry. Geo-Marine Letters 40, 255–268.</w:t>
      </w:r>
    </w:p>
    <w:bookmarkEnd w:id="578"/>
    <w:bookmarkStart w:id="580" w:name="ref-Castaing1995"/>
    <w:p>
      <w:pPr>
        <w:pStyle w:val="Bibliography"/>
      </w:pPr>
      <w:r>
        <w:t xml:space="preserve">Castaing, P., Guilcher, A., 1995. Morphosedimentary evolution of ria-type estuaries. Earth Surface Processes and Landforms 20, 361–376.</w:t>
      </w:r>
      <w:r>
        <w:t xml:space="preserve"> </w:t>
      </w:r>
      <w:hyperlink r:id="rId579">
        <w:r>
          <w:rPr>
            <w:rStyle w:val="Hyperlink"/>
          </w:rPr>
          <w:t xml:space="preserve">https://doi.org/10.1002/esp.3290200408</w:t>
        </w:r>
      </w:hyperlink>
    </w:p>
    <w:bookmarkEnd w:id="580"/>
    <w:bookmarkStart w:id="581"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81"/>
    <w:bookmarkStart w:id="582"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82"/>
    <w:bookmarkStart w:id="584" w:name="ref-shinypck"/>
    <w:p>
      <w:pPr>
        <w:pStyle w:val="Bibliography"/>
      </w:pPr>
      <w:r>
        <w:t xml:space="preserve">Chang, W., Cheng, J., Allaire, J., Sievert, C., Schloerke, B., Xie, Y., Allen, J., McPherson, J., Dipert, A., Borges, B., 2024.</w:t>
      </w:r>
      <w:r>
        <w:t xml:space="preserve"> </w:t>
      </w:r>
      <w:hyperlink r:id="rId583">
        <w:r>
          <w:rPr>
            <w:rStyle w:val="Hyperlink"/>
          </w:rPr>
          <w:t xml:space="preserve">Shiny: Web application framework for r</w:t>
        </w:r>
      </w:hyperlink>
      <w:r>
        <w:t xml:space="preserve">.</w:t>
      </w:r>
    </w:p>
    <w:bookmarkEnd w:id="584"/>
    <w:bookmarkStart w:id="586"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85">
        <w:r>
          <w:rPr>
            <w:rStyle w:val="Hyperlink"/>
          </w:rPr>
          <w:t xml:space="preserve">https://doi.org/10.1016/j.algal.2017.04.021</w:t>
        </w:r>
      </w:hyperlink>
    </w:p>
    <w:bookmarkEnd w:id="586"/>
    <w:bookmarkStart w:id="587"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87"/>
    <w:bookmarkStart w:id="588" w:name="ref-chefaoui2018dramatic"/>
    <w:p>
      <w:pPr>
        <w:pStyle w:val="Bibliography"/>
      </w:pPr>
      <w:r>
        <w:t xml:space="preserve">Chefaoui, R.M., Duarte, C.M., Serrão, E.A., 2018. Dramatic loss of seagrass habitat under projected climate change in the mediterranean sea. Global change biology 24, 4919–4928.</w:t>
      </w:r>
    </w:p>
    <w:bookmarkEnd w:id="588"/>
    <w:bookmarkStart w:id="589" w:name="ref-cheng1994neural"/>
    <w:p>
      <w:pPr>
        <w:pStyle w:val="Bibliography"/>
      </w:pPr>
      <w:r>
        <w:t xml:space="preserve">Cheng, B., Titterington, D.M., 1994. Neural networks: A review from a statistical perspective. Statistical science 2–30.</w:t>
      </w:r>
    </w:p>
    <w:bookmarkEnd w:id="589"/>
    <w:bookmarkStart w:id="590"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90"/>
    <w:bookmarkStart w:id="591" w:name="ref-christensen1977seaweeds"/>
    <w:p>
      <w:pPr>
        <w:pStyle w:val="Bibliography"/>
      </w:pPr>
      <w:r>
        <w:t xml:space="preserve">Christensen, T., Dixon, P.S., Irvine, L.M., 1977. Seaweeds of the british isles: Tribophyceae (xanthophyceae). British Museum (Natural History).</w:t>
      </w:r>
    </w:p>
    <w:bookmarkEnd w:id="591"/>
    <w:bookmarkStart w:id="5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92"/>
    <w:bookmarkStart w:id="594" w:name="ref-IPCC2023"/>
    <w:p>
      <w:pPr>
        <w:pStyle w:val="Bibliography"/>
      </w:pPr>
      <w:r>
        <w:t xml:space="preserve">Climate Change (IPCC), I.P. on, 2023. Summary for policymakers. IPCC, Geneva, Switzerland.</w:t>
      </w:r>
      <w:r>
        <w:t xml:space="preserve"> </w:t>
      </w:r>
      <w:hyperlink r:id="rId593">
        <w:r>
          <w:rPr>
            <w:rStyle w:val="Hyperlink"/>
          </w:rPr>
          <w:t xml:space="preserve">https://doi.org/10.59327/IPCC/AR6-9789291691647.001</w:t>
        </w:r>
      </w:hyperlink>
    </w:p>
    <w:bookmarkEnd w:id="594"/>
    <w:bookmarkStart w:id="596"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95">
        <w:r>
          <w:rPr>
            <w:rStyle w:val="Hyperlink"/>
          </w:rPr>
          <w:t xml:space="preserve">https://doi.org/10.48670/moi-00311</w:t>
        </w:r>
      </w:hyperlink>
    </w:p>
    <w:bookmarkEnd w:id="596"/>
    <w:bookmarkStart w:id="59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97"/>
    <w:bookmarkStart w:id="598"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98"/>
    <w:bookmarkStart w:id="599" w:name="ref-collin2019improving"/>
    <w:p>
      <w:pPr>
        <w:pStyle w:val="Bibliography"/>
      </w:pPr>
      <w:r>
        <w:t xml:space="preserve">Collin, A., Dubois, S., James, D., Houet, T., 2019. Improving intertidal reef mapping using UAV surface, red edge, and near-infrared data. Drones 3, 67.</w:t>
      </w:r>
    </w:p>
    <w:bookmarkEnd w:id="599"/>
    <w:bookmarkStart w:id="600"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600"/>
    <w:bookmarkStart w:id="601"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601"/>
    <w:bookmarkStart w:id="602" w:name="ref-cooley2023oceans"/>
    <w:p>
      <w:pPr>
        <w:pStyle w:val="Bibliography"/>
      </w:pPr>
      <w:r>
        <w:t xml:space="preserve">Cooley, S., Schoeman, D., Bopp, L., Boyd, P., Donner, S., Kiessling, W., Martinetto, P., Ojea, E., Racault, M., Rost, B., others, 2023. Oceans and coastal ecosystems and their services.</w:t>
      </w:r>
    </w:p>
    <w:bookmarkEnd w:id="602"/>
    <w:bookmarkStart w:id="60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603"/>
    <w:bookmarkStart w:id="604"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604"/>
    <w:bookmarkStart w:id="605" w:name="ref-costa2009comparative"/>
    <w:p>
      <w:pPr>
        <w:pStyle w:val="Bibliography"/>
      </w:pPr>
      <w:r>
        <w:t xml:space="preserve">Costa, B., Battista, T., Pittman, S., 2009. Comparative evaluation of airborne LiDAR and ship-based multibeam SoNAR bathymetry and intensity for mapping coral reef ecosystems. Remote Sensing of Environment 113, 1082–1100.</w:t>
      </w:r>
    </w:p>
    <w:bookmarkEnd w:id="605"/>
    <w:bookmarkStart w:id="60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606">
        <w:r>
          <w:rPr>
            <w:rStyle w:val="Hyperlink"/>
          </w:rPr>
          <w:t xml:space="preserve">https://doi.org/10.1016/j.ecolind.2020.107018</w:t>
        </w:r>
      </w:hyperlink>
    </w:p>
    <w:bookmarkEnd w:id="607"/>
    <w:bookmarkStart w:id="60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608"/>
    <w:bookmarkStart w:id="609"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609"/>
    <w:bookmarkStart w:id="611"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610">
        <w:r>
          <w:rPr>
            <w:rStyle w:val="Hyperlink"/>
          </w:rPr>
          <w:t xml:space="preserve">https://doi.org/10.1007/s11099-007-0084-3</w:t>
        </w:r>
      </w:hyperlink>
    </w:p>
    <w:bookmarkEnd w:id="611"/>
    <w:bookmarkStart w:id="61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612"/>
    <w:bookmarkStart w:id="61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613"/>
    <w:bookmarkStart w:id="61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614">
        <w:r>
          <w:rPr>
            <w:rStyle w:val="Hyperlink"/>
          </w:rPr>
          <w:t xml:space="preserve">https://doi.org/10.1016/j.rse.2023.113554</w:t>
        </w:r>
      </w:hyperlink>
    </w:p>
    <w:bookmarkEnd w:id="615"/>
    <w:bookmarkStart w:id="616" w:name="ref-Davies2022b"/>
    <w:p>
      <w:pPr>
        <w:pStyle w:val="Bibliography"/>
      </w:pPr>
      <w:r>
        <w:t xml:space="preserve">Davies, B.F.R., Holmes, L., Attrill, M.J., Sheehan, E.V., 2022. Ecosystem benefits of adopting a whole-site approach to MPA management. Fisheries Management and Ecology.</w:t>
      </w:r>
    </w:p>
    <w:bookmarkEnd w:id="616"/>
    <w:bookmarkStart w:id="61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17">
        <w:r>
          <w:rPr>
            <w:rStyle w:val="Hyperlink"/>
          </w:rPr>
          <w:t xml:space="preserve">https://doi.org/10.1038/s43247-024-01543-z</w:t>
        </w:r>
      </w:hyperlink>
    </w:p>
    <w:bookmarkEnd w:id="618"/>
    <w:bookmarkStart w:id="62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19">
        <w:r>
          <w:rPr>
            <w:rStyle w:val="Hyperlink"/>
          </w:rPr>
          <w:t xml:space="preserve">https://doi.org/10.1016/j.rse.2024.114340</w:t>
        </w:r>
      </w:hyperlink>
    </w:p>
    <w:bookmarkEnd w:id="620"/>
    <w:bookmarkStart w:id="622" w:name="ref-BedeGbif"/>
    <w:p>
      <w:pPr>
        <w:pStyle w:val="Bibliography"/>
      </w:pPr>
      <w:r>
        <w:t xml:space="preserve">Davies, B.F.R., Sousa, A.I., Figueira, R., Oiry, S., Gernez, P., Barillé, L., 2023b. Benthic intertidal vegetation from the tagus estuary and aveiro lagoon.</w:t>
      </w:r>
      <w:r>
        <w:t xml:space="preserve"> </w:t>
      </w:r>
      <w:hyperlink r:id="rId621">
        <w:r>
          <w:rPr>
            <w:rStyle w:val="Hyperlink"/>
          </w:rPr>
          <w:t xml:space="preserve">https://doi.org/10.15468/n4ak6x</w:t>
        </w:r>
      </w:hyperlink>
    </w:p>
    <w:bookmarkEnd w:id="622"/>
    <w:bookmarkStart w:id="623" w:name="ref-davis2003review"/>
    <w:p>
      <w:pPr>
        <w:pStyle w:val="Bibliography"/>
      </w:pPr>
      <w:r>
        <w:t xml:space="preserve">Davis, T.A., Volesky, B., Mucci, A., 2003. A review of the biochemistry of heavy metal biosorption by brown algae. Water research 37, 4311–4330.</w:t>
      </w:r>
    </w:p>
    <w:bookmarkEnd w:id="623"/>
    <w:bookmarkStart w:id="62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24"/>
    <w:bookmarkStart w:id="625" w:name="ref-de1995wind"/>
    <w:p>
      <w:pPr>
        <w:pStyle w:val="Bibliography"/>
      </w:pPr>
      <w:r>
        <w:t xml:space="preserve">De Jorge, V., Van Beusekom, J., 1995. Wind-and tide-induced resuspension of sediment and microphytobenthos from tidal flats in the ems estuary. Limnology and oceanography 40, 776–778.</w:t>
      </w:r>
    </w:p>
    <w:bookmarkEnd w:id="625"/>
    <w:bookmarkStart w:id="626" w:name="ref-decho2000microbial"/>
    <w:p>
      <w:pPr>
        <w:pStyle w:val="Bibliography"/>
      </w:pPr>
      <w:r>
        <w:t xml:space="preserve">Decho, A.W., 2000. Microbial biofilms in intertidal systems: An overview. Continental shelf research 20, 1257–1273.</w:t>
      </w:r>
    </w:p>
    <w:bookmarkEnd w:id="626"/>
    <w:bookmarkStart w:id="627"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27"/>
    <w:bookmarkStart w:id="628" w:name="ref-deguette2022physiological"/>
    <w:p>
      <w:pPr>
        <w:pStyle w:val="Bibliography"/>
      </w:pPr>
      <w:r>
        <w:t xml:space="preserve">Deguette, A., Barrote, I., Silva, J., 2022. Physiological and morphological effects of a marine heatwave on the seagrass cymodocea nodosa. Scientific Reports 12, 7950.</w:t>
      </w:r>
    </w:p>
    <w:bookmarkEnd w:id="628"/>
    <w:bookmarkStart w:id="62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29"/>
    <w:bookmarkStart w:id="630" w:name="ref-desai2021measuring"/>
    <w:p>
      <w:pPr>
        <w:pStyle w:val="Bibliography"/>
      </w:pPr>
      <w:r>
        <w:t xml:space="preserve">Desai, R.M., Shambaugh, G.E., 2021. Measuring the global impact of destructive and illegal fishing on maritime piracy: A spatial analysis. Plos one 16, e0246835.</w:t>
      </w:r>
    </w:p>
    <w:bookmarkEnd w:id="630"/>
    <w:bookmarkStart w:id="631" w:name="ref-devlin2023nutrients"/>
    <w:p>
      <w:pPr>
        <w:pStyle w:val="Bibliography"/>
      </w:pPr>
      <w:r>
        <w:t xml:space="preserve">Devlin, M., Brodie, J., 2023. Nutrients and eutrophication, in: Marine Pollution–Monitoring, Management and Mitigation. Springer, pp. 75–100.</w:t>
      </w:r>
    </w:p>
    <w:bookmarkEnd w:id="631"/>
    <w:bookmarkStart w:id="63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32">
        <w:r>
          <w:rPr>
            <w:rStyle w:val="Hyperlink"/>
          </w:rPr>
          <w:t xml:space="preserve">https://doi.org/10.1016/j.rse.2015.01.027</w:t>
        </w:r>
      </w:hyperlink>
    </w:p>
    <w:bookmarkEnd w:id="633"/>
    <w:bookmarkStart w:id="63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34"/>
    <w:bookmarkStart w:id="636"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35">
        <w:r>
          <w:rPr>
            <w:rStyle w:val="Hyperlink"/>
          </w:rPr>
          <w:t xml:space="preserve">https://doi.org/10.3390/rs14133124</w:t>
        </w:r>
      </w:hyperlink>
    </w:p>
    <w:bookmarkEnd w:id="636"/>
    <w:bookmarkStart w:id="638" w:name="ref-rs14020346"/>
    <w:p>
      <w:pPr>
        <w:pStyle w:val="Bibliography"/>
      </w:pPr>
      <w:r>
        <w:t xml:space="preserve">Douay, F., Verpoorter, C., Duong, G., Spilmont, N., Gevaert, F., 2022b. New hyperspectral procedure to discriminate intertidal macroalgae. Remote Sensing 14.</w:t>
      </w:r>
      <w:r>
        <w:t xml:space="preserve"> </w:t>
      </w:r>
      <w:hyperlink r:id="rId637">
        <w:r>
          <w:rPr>
            <w:rStyle w:val="Hyperlink"/>
          </w:rPr>
          <w:t xml:space="preserve">https://doi.org/10.3390/rs14020346</w:t>
        </w:r>
      </w:hyperlink>
    </w:p>
    <w:bookmarkEnd w:id="638"/>
    <w:bookmarkStart w:id="639" w:name="ref-douay2022new"/>
    <w:p>
      <w:pPr>
        <w:pStyle w:val="Bibliography"/>
      </w:pPr>
      <w:r>
        <w:t xml:space="preserve">Douay, F., Verpoorter, C., Duong, G., Spilmont, N., Gevaert, F., 2022a. New hyperspectral procedure to discriminate intertidal macroalgae. Remote Sensing 14, 346.</w:t>
      </w:r>
    </w:p>
    <w:bookmarkEnd w:id="639"/>
    <w:bookmarkStart w:id="640"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40"/>
    <w:bookmarkStart w:id="64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41"/>
    <w:bookmarkStart w:id="642" w:name="ref-duarte1991allometric"/>
    <w:p>
      <w:pPr>
        <w:pStyle w:val="Bibliography"/>
      </w:pPr>
      <w:r>
        <w:t xml:space="preserve">Duarte, C.M., 1991. Allometric scaling of seagrass form and productivity. Marine ecology progress series. Oldendorf 77, 289–300.</w:t>
      </w:r>
    </w:p>
    <w:bookmarkEnd w:id="642"/>
    <w:bookmarkStart w:id="64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43"/>
    <w:bookmarkStart w:id="64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44"/>
    <w:bookmarkStart w:id="64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45"/>
    <w:bookmarkStart w:id="64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46"/>
    <w:bookmarkStart w:id="64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47"/>
    <w:bookmarkStart w:id="64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48"/>
    <w:bookmarkStart w:id="650" w:name="ref-electricblue_intertidal_chamber"/>
    <w:p>
      <w:pPr>
        <w:pStyle w:val="Bibliography"/>
      </w:pPr>
      <w:r>
        <w:t xml:space="preserve">Electric Blue, 2023.</w:t>
      </w:r>
      <w:r>
        <w:t xml:space="preserve"> </w:t>
      </w:r>
      <w:hyperlink r:id="rId649">
        <w:r>
          <w:rPr>
            <w:rStyle w:val="Hyperlink"/>
          </w:rPr>
          <w:t xml:space="preserve">Intertidal chamber</w:t>
        </w:r>
      </w:hyperlink>
      <w:r>
        <w:t xml:space="preserve">.</w:t>
      </w:r>
    </w:p>
    <w:bookmarkEnd w:id="650"/>
    <w:bookmarkStart w:id="65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51"/>
    <w:bookmarkStart w:id="652" w:name="ref-elliott2011challenging"/>
    <w:p>
      <w:pPr>
        <w:pStyle w:val="Bibliography"/>
      </w:pPr>
      <w:r>
        <w:t xml:space="preserve">Elliott, M., Whitfield, A.K., 2011. Challenging paradigms in estuarine ecology and management. Estuarine, Coastal and Shelf Science 94, 306–314.</w:t>
      </w:r>
    </w:p>
    <w:bookmarkEnd w:id="652"/>
    <w:bookmarkStart w:id="653" w:name="ref-elton2020ecology"/>
    <w:p>
      <w:pPr>
        <w:pStyle w:val="Bibliography"/>
      </w:pPr>
      <w:r>
        <w:t xml:space="preserve">Elton, C.S., 2020. The ecology of invasions by animals and plants. Springer Nature.</w:t>
      </w:r>
    </w:p>
    <w:bookmarkEnd w:id="653"/>
    <w:bookmarkStart w:id="654" w:name="ref-sen2cor"/>
    <w:p>
      <w:pPr>
        <w:pStyle w:val="Bibliography"/>
      </w:pPr>
      <w:r>
        <w:t xml:space="preserve">ESA, 2024b. Sen2Cor: Sentinel-2 atmospheric correction processor.</w:t>
      </w:r>
    </w:p>
    <w:bookmarkEnd w:id="654"/>
    <w:bookmarkStart w:id="655" w:name="ref-copernicus_sentinel2"/>
    <w:p>
      <w:pPr>
        <w:pStyle w:val="Bibliography"/>
      </w:pPr>
      <w:r>
        <w:t xml:space="preserve">ESA, 2024a. Copernicus open access hub.</w:t>
      </w:r>
    </w:p>
    <w:bookmarkEnd w:id="655"/>
    <w:bookmarkStart w:id="656" w:name="ref-WFD2000"/>
    <w:p>
      <w:pPr>
        <w:pStyle w:val="Bibliography"/>
      </w:pPr>
      <w:r>
        <w:t xml:space="preserve">European-Commission, n.d. Official Journal of the European Communities L 327, 1–72.</w:t>
      </w:r>
    </w:p>
    <w:bookmarkEnd w:id="656"/>
    <w:bookmarkStart w:id="658" w:name="ref-eurostat_tsa_2023"/>
    <w:p>
      <w:pPr>
        <w:pStyle w:val="Bibliography"/>
      </w:pPr>
      <w:r>
        <w:t xml:space="preserve">Eurostat, 2023. Tourism satellite accounts in europe - 2023 edition. Publications Office of the European Union, Luxembourg.</w:t>
      </w:r>
      <w:r>
        <w:t xml:space="preserve"> </w:t>
      </w:r>
      <w:hyperlink r:id="rId657">
        <w:r>
          <w:rPr>
            <w:rStyle w:val="Hyperlink"/>
          </w:rPr>
          <w:t xml:space="preserve">https://doi.org/10.2785/7794</w:t>
        </w:r>
      </w:hyperlink>
    </w:p>
    <w:bookmarkEnd w:id="658"/>
    <w:bookmarkStart w:id="660"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59">
        <w:r>
          <w:rPr>
            <w:rStyle w:val="Hyperlink"/>
          </w:rPr>
          <w:t xml:space="preserve">Fourth IMO GHG study 2020: Executive summary</w:t>
        </w:r>
      </w:hyperlink>
      <w:r>
        <w:t xml:space="preserve">. International Maritime Organization (IMO), 4 Albert Embankment, London SE1 7SR.</w:t>
      </w:r>
    </w:p>
    <w:bookmarkEnd w:id="660"/>
    <w:bookmarkStart w:id="66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61"/>
    <w:bookmarkStart w:id="662"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62"/>
    <w:bookmarkStart w:id="663" w:name="ref-firth2024invasive"/>
    <w:p>
      <w:pPr>
        <w:pStyle w:val="Bibliography"/>
      </w:pPr>
      <w:r>
        <w:t xml:space="preserve">Firth, L.B., Foggo, A., Watts, T., Knights, A.M., DeAmicis, S., 2024. Invasive macroalgae in native seagrass beds: Vectors of spread and impacts. Annals of Botany 133, 41–50.</w:t>
      </w:r>
    </w:p>
    <w:bookmarkEnd w:id="663"/>
    <w:bookmarkStart w:id="664" w:name="ref-foden2007angiosperms"/>
    <w:p>
      <w:pPr>
        <w:pStyle w:val="Bibliography"/>
      </w:pPr>
      <w:r>
        <w:t xml:space="preserve">Foden, J., Brazier, D., 2007. Angiosperms (seagrass) within the EU water framework directive: A UK perspective. Marine Pollution Bulletin 55, 181–195.</w:t>
      </w:r>
    </w:p>
    <w:bookmarkEnd w:id="664"/>
    <w:bookmarkStart w:id="66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65"/>
    <w:bookmarkStart w:id="666"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66"/>
    <w:bookmarkStart w:id="667"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67"/>
    <w:bookmarkStart w:id="668"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68"/>
    <w:bookmarkStart w:id="670" w:name="ref-R-rsample"/>
    <w:p>
      <w:pPr>
        <w:pStyle w:val="Bibliography"/>
      </w:pPr>
      <w:r>
        <w:t xml:space="preserve">Frick, H., Chow, F., Kuhn, M., Mahoney, M., Silge, J., Wickham, H., 2024.</w:t>
      </w:r>
      <w:r>
        <w:t xml:space="preserve"> </w:t>
      </w:r>
      <w:hyperlink r:id="rId669">
        <w:r>
          <w:rPr>
            <w:rStyle w:val="Hyperlink"/>
          </w:rPr>
          <w:t xml:space="preserve">Rsample: General resampling infrastructure</w:t>
        </w:r>
      </w:hyperlink>
      <w:r>
        <w:t xml:space="preserve">.</w:t>
      </w:r>
    </w:p>
    <w:bookmarkEnd w:id="670"/>
    <w:bookmarkStart w:id="671" w:name="ref-fyfe2003spatial"/>
    <w:p>
      <w:pPr>
        <w:pStyle w:val="Bibliography"/>
      </w:pPr>
      <w:r>
        <w:t xml:space="preserve">Fyfe, S., 2003. Spatial and temporal variation in spectral reflectance: Are seagrass species spectrally distinct? Limnology and Oceanography 48, 464–479.</w:t>
      </w:r>
    </w:p>
    <w:bookmarkEnd w:id="671"/>
    <w:bookmarkStart w:id="672" w:name="ref-gacia1999approach"/>
    <w:p>
      <w:pPr>
        <w:pStyle w:val="Bibliography"/>
      </w:pPr>
      <w:r>
        <w:t xml:space="preserve">Gacia, E., Granata, T., Duarte, C., 1999. An approach to measurement of particle flux and sediment retention within seagrass (posidonia oceanica) meadows. Aquatic Botany 65, 255–268.</w:t>
      </w:r>
    </w:p>
    <w:bookmarkEnd w:id="672"/>
    <w:bookmarkStart w:id="673" w:name="ref-gallardo2016global"/>
    <w:p>
      <w:pPr>
        <w:pStyle w:val="Bibliography"/>
      </w:pPr>
      <w:r>
        <w:t xml:space="preserve">Gallardo, B., Clavero, M., Sánchez, M.I., Vilà, M., 2016. Global ecological impacts of invasive species in aquatic ecosystems. Global change biology 22, 151–163.</w:t>
      </w:r>
    </w:p>
    <w:bookmarkEnd w:id="673"/>
    <w:bookmarkStart w:id="674"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74"/>
    <w:bookmarkStart w:id="675"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75"/>
    <w:bookmarkStart w:id="676" w:name="ref-gardner2018global"/>
    <w:p>
      <w:pPr>
        <w:pStyle w:val="Bibliography"/>
      </w:pPr>
      <w:r>
        <w:t xml:space="preserve">Gardner, R.C., Finlayson, C., 2018. Global wetland outlook: State of the world’s wetlands and their services to people, in: Ramsar Convention Secretariat. pp. 2020–5.</w:t>
      </w:r>
    </w:p>
    <w:bookmarkEnd w:id="676"/>
    <w:bookmarkStart w:id="678"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77">
        <w:r>
          <w:rPr>
            <w:rStyle w:val="Hyperlink"/>
          </w:rPr>
          <w:t xml:space="preserve">https://doi.org/10.1016/j.ecss.2021.107320</w:t>
        </w:r>
      </w:hyperlink>
    </w:p>
    <w:bookmarkEnd w:id="678"/>
    <w:bookmarkStart w:id="67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79"/>
    <w:bookmarkStart w:id="680"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80"/>
    <w:bookmarkStart w:id="68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81"/>
    <w:bookmarkStart w:id="682" w:name="ref-green2021historical"/>
    <w:p>
      <w:pPr>
        <w:pStyle w:val="Bibliography"/>
      </w:pPr>
      <w:r>
        <w:t xml:space="preserve">Green, A.E., Unsworth, R.K., Chadwick, M.A., Jones, P.J., 2021. Historical analysis exposes catastrophic seagrass loss for the united kingdom. Frontiers in plant science 12, 629962.</w:t>
      </w:r>
    </w:p>
    <w:bookmarkEnd w:id="682"/>
    <w:bookmarkStart w:id="683" w:name="ref-green2021functional"/>
    <w:p>
      <w:pPr>
        <w:pStyle w:val="Bibliography"/>
      </w:pPr>
      <w:r>
        <w:t xml:space="preserve">Green, S.J., Grosholz, E.D., 2021. Functional eradication as a framework for invasive species control. Frontiers in Ecology and the Environment 19, 98–107.</w:t>
      </w:r>
    </w:p>
    <w:bookmarkEnd w:id="683"/>
    <w:bookmarkStart w:id="685" w:name="ref-R-vip"/>
    <w:p>
      <w:pPr>
        <w:pStyle w:val="Bibliography"/>
      </w:pPr>
      <w:r>
        <w:t xml:space="preserve">Greenwell, B.M., Boehmke, B.C., 2020.</w:t>
      </w:r>
      <w:r>
        <w:t xml:space="preserve"> </w:t>
      </w:r>
      <w:hyperlink r:id="rId684">
        <w:r>
          <w:rPr>
            <w:rStyle w:val="Hyperlink"/>
          </w:rPr>
          <w:t xml:space="preserve">Variable importance plots—an introduction to the vip package</w:t>
        </w:r>
      </w:hyperlink>
      <w:r>
        <w:t xml:space="preserve">. The R Journal 12, 343–366.</w:t>
      </w:r>
    </w:p>
    <w:bookmarkEnd w:id="685"/>
    <w:bookmarkStart w:id="686" w:name="ref-grizel1991introduction"/>
    <w:p>
      <w:pPr>
        <w:pStyle w:val="Bibliography"/>
      </w:pPr>
      <w:r>
        <w:t xml:space="preserve">Grizel, H., Heral, M., 1991. Introduction into france of the japanese oyster (crassostrea gigas). ICES Journal of Marine Science 47, 399–403.</w:t>
      </w:r>
    </w:p>
    <w:bookmarkEnd w:id="686"/>
    <w:bookmarkStart w:id="687" w:name="ref-guan2023overview"/>
    <w:p>
      <w:pPr>
        <w:pStyle w:val="Bibliography"/>
      </w:pPr>
      <w:r>
        <w:t xml:space="preserve">Guan, S., Brookens, T., 2023. An overview of research efforts to understand the effects of underwater sound on cetaceans. Water Biology and Security 2, 100141.</w:t>
      </w:r>
    </w:p>
    <w:bookmarkEnd w:id="687"/>
    <w:bookmarkStart w:id="68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88"/>
    <w:bookmarkStart w:id="68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89"/>
    <w:bookmarkStart w:id="690" w:name="ref-Guyot1990"/>
    <w:p>
      <w:pPr>
        <w:pStyle w:val="Bibliography"/>
      </w:pPr>
      <w:r>
        <w:t xml:space="preserve">Guyot, G., 1990. Optical properties of vegetation canopies. Optical properties of vegetation canopies. 19–43.</w:t>
      </w:r>
    </w:p>
    <w:bookmarkEnd w:id="690"/>
    <w:bookmarkStart w:id="69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91"/>
    <w:bookmarkStart w:id="69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92"/>
    <w:bookmarkStart w:id="693" w:name="ref-hanley2024victim"/>
    <w:p>
      <w:pPr>
        <w:pStyle w:val="Bibliography"/>
      </w:pPr>
      <w:r>
        <w:t xml:space="preserve">Hanley, M.E., Firth, L.B., Foggo, A., 2024. Victim of changes? Marine macroalgae in a changing world. Annals of Botany 133, 1–16.</w:t>
      </w:r>
    </w:p>
    <w:bookmarkEnd w:id="693"/>
    <w:bookmarkStart w:id="694" w:name="ref-haro2023biointertidal"/>
    <w:p>
      <w:pPr>
        <w:pStyle w:val="Bibliography"/>
      </w:pPr>
      <w:r>
        <w:t xml:space="preserve">Haro, S., Jimenez-Reina, J., Bermejo, R., Morrison, L., 2023. BioIntertidal mapper software: A satellite approach for NDVI-based intertidal habitat mapping. SoftwareX 24, 101520.</w:t>
      </w:r>
    </w:p>
    <w:bookmarkEnd w:id="694"/>
    <w:bookmarkStart w:id="695" w:name="ref-hassan2005ecosystems"/>
    <w:p>
      <w:pPr>
        <w:pStyle w:val="Bibliography"/>
      </w:pPr>
      <w:r>
        <w:t xml:space="preserve">Hassan, R., Scholes, R., Ash, N., 2005. Ecosystems and human well-being: Current state and trends.</w:t>
      </w:r>
    </w:p>
    <w:bookmarkEnd w:id="695"/>
    <w:bookmarkStart w:id="697"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96">
        <w:r>
          <w:rPr>
            <w:rStyle w:val="Hyperlink"/>
          </w:rPr>
          <w:t xml:space="preserve">https://doi.org/10.3390/app8122688</w:t>
        </w:r>
      </w:hyperlink>
    </w:p>
    <w:bookmarkEnd w:id="697"/>
    <w:bookmarkStart w:id="698" w:name="ref-hemminga1998root"/>
    <w:p>
      <w:pPr>
        <w:pStyle w:val="Bibliography"/>
      </w:pPr>
      <w:r>
        <w:t xml:space="preserve">Hemminga, M., 1998. The root/rhizome system of seagrasses: An asset and a burden. Journal of Sea Research 39, 183–196.</w:t>
      </w:r>
    </w:p>
    <w:bookmarkEnd w:id="698"/>
    <w:bookmarkStart w:id="700"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99">
        <w:r>
          <w:rPr>
            <w:rStyle w:val="Hyperlink"/>
          </w:rPr>
          <w:t xml:space="preserve">https://doi.org/10.1016/j.rse.2015.05.023</w:t>
        </w:r>
      </w:hyperlink>
    </w:p>
    <w:bookmarkEnd w:id="700"/>
    <w:bookmarkStart w:id="702" w:name="ref-terrapck"/>
    <w:p>
      <w:pPr>
        <w:pStyle w:val="Bibliography"/>
      </w:pPr>
      <w:r>
        <w:t xml:space="preserve">Hijmans, R.J., 2024.</w:t>
      </w:r>
      <w:r>
        <w:t xml:space="preserve"> </w:t>
      </w:r>
      <w:hyperlink r:id="rId701">
        <w:r>
          <w:rPr>
            <w:rStyle w:val="Hyperlink"/>
          </w:rPr>
          <w:t xml:space="preserve">Terra: Spatial data analysis</w:t>
        </w:r>
      </w:hyperlink>
      <w:r>
        <w:t xml:space="preserve">.</w:t>
      </w:r>
    </w:p>
    <w:bookmarkEnd w:id="702"/>
    <w:bookmarkStart w:id="703"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03"/>
    <w:bookmarkStart w:id="704"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04"/>
    <w:bookmarkStart w:id="705"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705"/>
    <w:bookmarkStart w:id="70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706"/>
    <w:bookmarkStart w:id="70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707">
        <w:r>
          <w:rPr>
            <w:rStyle w:val="Hyperlink"/>
          </w:rPr>
          <w:t xml:space="preserve">https://doi.org/10.1016/j.envpol.2021.117731</w:t>
        </w:r>
      </w:hyperlink>
    </w:p>
    <w:bookmarkEnd w:id="708"/>
    <w:bookmarkStart w:id="709" w:name="ref-howard2018fastai"/>
    <w:p>
      <w:pPr>
        <w:pStyle w:val="Bibliography"/>
      </w:pPr>
      <w:r>
        <w:t xml:space="preserve">Howard, J., others, 2018. Fastai.</w:t>
      </w:r>
    </w:p>
    <w:bookmarkEnd w:id="709"/>
    <w:bookmarkStart w:id="71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710">
        <w:r>
          <w:rPr>
            <w:rStyle w:val="Hyperlink"/>
          </w:rPr>
          <w:t xml:space="preserve">https://doi.org/10.1016/j.rse.2017.01.037</w:t>
        </w:r>
      </w:hyperlink>
    </w:p>
    <w:bookmarkEnd w:id="711"/>
    <w:bookmarkStart w:id="712"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712"/>
    <w:bookmarkStart w:id="714" w:name="ref-ign"/>
    <w:p>
      <w:pPr>
        <w:pStyle w:val="Bibliography"/>
      </w:pPr>
      <w:r>
        <w:t xml:space="preserve">IGN, 2024a.</w:t>
      </w:r>
      <w:r>
        <w:t xml:space="preserve"> </w:t>
      </w:r>
      <w:hyperlink r:id="rId713">
        <w:r>
          <w:rPr>
            <w:rStyle w:val="Hyperlink"/>
          </w:rPr>
          <w:t xml:space="preserve">Institut national de l’information géographique et forestiere (IGN)</w:t>
        </w:r>
      </w:hyperlink>
      <w:r>
        <w:t xml:space="preserve">.</w:t>
      </w:r>
    </w:p>
    <w:bookmarkEnd w:id="714"/>
    <w:bookmarkStart w:id="715" w:name="ref-RemonterLeTempsIGN"/>
    <w:p>
      <w:pPr>
        <w:pStyle w:val="Bibliography"/>
      </w:pPr>
      <w:r>
        <w:t xml:space="preserve">IGN, 2024b. Remonter le temps.</w:t>
      </w:r>
    </w:p>
    <w:bookmarkEnd w:id="715"/>
    <w:bookmarkStart w:id="716"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16"/>
    <w:bookmarkStart w:id="718" w:name="ref-ioc_sea_level_lecy"/>
    <w:p>
      <w:pPr>
        <w:pStyle w:val="Bibliography"/>
      </w:pPr>
      <w:r>
        <w:t xml:space="preserve">IOC, n.d.</w:t>
      </w:r>
      <w:r>
        <w:t xml:space="preserve"> </w:t>
      </w:r>
      <w:hyperlink r:id="rId717">
        <w:r>
          <w:rPr>
            <w:rStyle w:val="Hyperlink"/>
          </w:rPr>
          <w:t xml:space="preserve">Intergovernmental oceanographic commission ; sea level monitoring station - le conquet, france (LECY)</w:t>
        </w:r>
      </w:hyperlink>
      <w:r>
        <w:t xml:space="preserve">.</w:t>
      </w:r>
    </w:p>
    <w:bookmarkEnd w:id="718"/>
    <w:bookmarkStart w:id="719" w:name="ref-ismail2020therapeutic"/>
    <w:p>
      <w:pPr>
        <w:pStyle w:val="Bibliography"/>
      </w:pPr>
      <w:r>
        <w:t xml:space="preserve">Ismail, M.M., Alotaibi, B.S., El-Sheekh, M.M., 2020. Therapeutic uses of red macroalgae. Molecules 25, 4411.</w:t>
      </w:r>
    </w:p>
    <w:bookmarkEnd w:id="719"/>
    <w:bookmarkStart w:id="721" w:name="ref-itopf_statistics"/>
    <w:p>
      <w:pPr>
        <w:pStyle w:val="Bibliography"/>
      </w:pPr>
      <w:r>
        <w:t xml:space="preserve">ITOPF, I.T.O.P.F., 2023.</w:t>
      </w:r>
      <w:r>
        <w:t xml:space="preserve"> </w:t>
      </w:r>
      <w:hyperlink r:id="rId720">
        <w:r>
          <w:rPr>
            <w:rStyle w:val="Hyperlink"/>
          </w:rPr>
          <w:t xml:space="preserve">Statistics - ITOPF</w:t>
        </w:r>
      </w:hyperlink>
      <w:r>
        <w:t xml:space="preserve">.</w:t>
      </w:r>
    </w:p>
    <w:bookmarkEnd w:id="721"/>
    <w:bookmarkStart w:id="722"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22"/>
    <w:bookmarkStart w:id="72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23"/>
    <w:bookmarkStart w:id="724"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24"/>
    <w:bookmarkStart w:id="725"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25"/>
    <w:bookmarkStart w:id="727"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26">
        <w:r>
          <w:rPr>
            <w:rStyle w:val="Hyperlink"/>
          </w:rPr>
          <w:t xml:space="preserve">https://doi.org/10.1016/S0304-4238(05)80016-0</w:t>
        </w:r>
      </w:hyperlink>
    </w:p>
    <w:bookmarkEnd w:id="727"/>
    <w:bookmarkStart w:id="729"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28">
        <w:r>
          <w:rPr>
            <w:rStyle w:val="Hyperlink"/>
          </w:rPr>
          <w:t xml:space="preserve">https://doi.org/10.1177/0309133309339563</w:t>
        </w:r>
      </w:hyperlink>
    </w:p>
    <w:bookmarkEnd w:id="729"/>
    <w:bookmarkStart w:id="730" w:name="ref-joyce2023"/>
    <w:p>
      <w:pPr>
        <w:pStyle w:val="Bibliography"/>
      </w:pPr>
      <w:r>
        <w:t xml:space="preserve">Joyce, K.E., Fickas, K.C., Kalamandeen, M., 2023. The unique value proposition for using drones to map coastal ecosystems. Cambridge Prisms: Coastal Futures 1, e6.</w:t>
      </w:r>
    </w:p>
    <w:bookmarkEnd w:id="730"/>
    <w:bookmarkStart w:id="731" w:name="ref-karakassis2005contribution"/>
    <w:p>
      <w:pPr>
        <w:pStyle w:val="Bibliography"/>
      </w:pPr>
      <w:r>
        <w:t xml:space="preserve">Karakassis, I., Pitta, P., Krom, M.D., 2005. Contribution of fish farming to the nutrient loading of the mediterranean. Scientia Marina 69, 313–321.</w:t>
      </w:r>
    </w:p>
    <w:bookmarkEnd w:id="731"/>
    <w:bookmarkStart w:id="732"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32"/>
    <w:bookmarkStart w:id="733"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33"/>
    <w:bookmarkStart w:id="734" w:name="ref-Kirk1994"/>
    <w:p>
      <w:pPr>
        <w:pStyle w:val="Bibliography"/>
      </w:pPr>
      <w:r>
        <w:t xml:space="preserve">Kirk, J.T., 1994. Light and photosynthesis in aquatic ecosystems. Cambridge university press.</w:t>
      </w:r>
    </w:p>
    <w:bookmarkEnd w:id="734"/>
    <w:bookmarkStart w:id="735" w:name="ref-klemas2012remote"/>
    <w:p>
      <w:pPr>
        <w:pStyle w:val="Bibliography"/>
      </w:pPr>
      <w:r>
        <w:t xml:space="preserve">Klemas, V., 2012. Remote sensing of algal blooms: An overview with case studies. Journal of coastal research 28, 34–43.</w:t>
      </w:r>
    </w:p>
    <w:bookmarkEnd w:id="735"/>
    <w:bookmarkStart w:id="737"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36">
        <w:r>
          <w:rPr>
            <w:rStyle w:val="Hyperlink"/>
          </w:rPr>
          <w:t xml:space="preserve">https://doi.org/10.1016/S0034-4257(70)80021-9</w:t>
        </w:r>
      </w:hyperlink>
    </w:p>
    <w:bookmarkEnd w:id="737"/>
    <w:bookmarkStart w:id="73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38"/>
    <w:bookmarkStart w:id="739"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39"/>
    <w:bookmarkStart w:id="740"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40"/>
    <w:bookmarkStart w:id="741"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41"/>
    <w:bookmarkStart w:id="743"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42">
        <w:r>
          <w:rPr>
            <w:rStyle w:val="Hyperlink"/>
          </w:rPr>
          <w:t xml:space="preserve">https://doi.org/10.1063/1.44433</w:t>
        </w:r>
      </w:hyperlink>
    </w:p>
    <w:bookmarkEnd w:id="743"/>
    <w:bookmarkStart w:id="745" w:name="ref-R-yardstick"/>
    <w:p>
      <w:pPr>
        <w:pStyle w:val="Bibliography"/>
      </w:pPr>
      <w:r>
        <w:t xml:space="preserve">Kuhn, M., Vaughan, D., Hvitfeldt, E., 2024.</w:t>
      </w:r>
      <w:r>
        <w:t xml:space="preserve"> </w:t>
      </w:r>
      <w:hyperlink r:id="rId744">
        <w:r>
          <w:rPr>
            <w:rStyle w:val="Hyperlink"/>
          </w:rPr>
          <w:t xml:space="preserve">Yardstick: Tidy characterizations of model performance</w:t>
        </w:r>
      </w:hyperlink>
      <w:r>
        <w:t xml:space="preserve">.</w:t>
      </w:r>
    </w:p>
    <w:bookmarkEnd w:id="745"/>
    <w:bookmarkStart w:id="747" w:name="ref-Rtidymodels"/>
    <w:p>
      <w:pPr>
        <w:pStyle w:val="Bibliography"/>
      </w:pPr>
      <w:r>
        <w:t xml:space="preserve">Kuhn, M., Wickham, H., 2020.</w:t>
      </w:r>
      <w:r>
        <w:t xml:space="preserve"> </w:t>
      </w:r>
      <w:hyperlink r:id="rId746">
        <w:r>
          <w:rPr>
            <w:rStyle w:val="Hyperlink"/>
          </w:rPr>
          <w:t xml:space="preserve">Tidymodels: A collection of packages for modeling and machine learning using tidyverse principles.</w:t>
        </w:r>
      </w:hyperlink>
    </w:p>
    <w:bookmarkEnd w:id="747"/>
    <w:bookmarkStart w:id="749"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48">
        <w:r>
          <w:rPr>
            <w:rStyle w:val="Hyperlink"/>
          </w:rPr>
          <w:t xml:space="preserve">https://doi.org/10.1016/j.ecss.2005.12.004</w:t>
        </w:r>
      </w:hyperlink>
    </w:p>
    <w:bookmarkEnd w:id="749"/>
    <w:bookmarkStart w:id="750"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50"/>
    <w:bookmarkStart w:id="751" w:name="ref-lakshmi2021coastal"/>
    <w:p>
      <w:pPr>
        <w:pStyle w:val="Bibliography"/>
      </w:pPr>
      <w:r>
        <w:t xml:space="preserve">Lakshmi, A., 2021. Coastal ecosystem services &amp; human wellbeing. Indian Journal of Medical Research 153, 382–387.</w:t>
      </w:r>
    </w:p>
    <w:bookmarkEnd w:id="751"/>
    <w:bookmarkStart w:id="752" w:name="ref-lariosa2024drone"/>
    <w:p>
      <w:pPr>
        <w:pStyle w:val="Bibliography"/>
      </w:pPr>
      <w:r>
        <w:t xml:space="preserve">Lariosa, I.M., Pao, J., Banglos, C.A., Paradela, I., Aleluya, E.R., Salaan, C.J., Premachandra, C., 2024. Drone-based automatic water sampling system. IEEE Access.</w:t>
      </w:r>
    </w:p>
    <w:bookmarkEnd w:id="752"/>
    <w:bookmarkStart w:id="75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53"/>
    <w:bookmarkStart w:id="754" w:name="ref-laurent2024intertidal"/>
    <w:p>
      <w:pPr>
        <w:pStyle w:val="Bibliography"/>
      </w:pPr>
      <w:r>
        <w:t xml:space="preserve">Laurent, C., 2024. Intertidal seagrass restoration in the natural marine park of arachon bay. Ecorestoration: RNS Technical Series.</w:t>
      </w:r>
    </w:p>
    <w:bookmarkEnd w:id="754"/>
    <w:bookmarkStart w:id="755"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55"/>
    <w:bookmarkStart w:id="756" w:name="ref-lee2023application"/>
    <w:p>
      <w:pPr>
        <w:pStyle w:val="Bibliography"/>
      </w:pPr>
      <w:r>
        <w:t xml:space="preserve">Lee, J., Jo, H., Oh, J., 2023. Application of drone LiDAR survey for evaluation of a long-term consolidation settlement of large land reclamation. Applied Sciences 13, 8277.</w:t>
      </w:r>
    </w:p>
    <w:bookmarkEnd w:id="756"/>
    <w:bookmarkStart w:id="757"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57"/>
    <w:bookmarkStart w:id="758" w:name="ref-hsdar"/>
    <w:p>
      <w:pPr>
        <w:pStyle w:val="Bibliography"/>
      </w:pPr>
      <w:r>
        <w:t xml:space="preserve">Lehnert, L.W., Meyer, H., Bendix, J., 2017.</w:t>
      </w:r>
    </w:p>
    <w:bookmarkEnd w:id="758"/>
    <w:bookmarkStart w:id="75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59"/>
    <w:bookmarkStart w:id="76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60"/>
    <w:bookmarkStart w:id="761"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61"/>
    <w:bookmarkStart w:id="762"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62"/>
    <w:bookmarkStart w:id="763"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63"/>
    <w:bookmarkStart w:id="764"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64"/>
    <w:bookmarkStart w:id="765" w:name="ref-loarie2009velocity"/>
    <w:p>
      <w:pPr>
        <w:pStyle w:val="Bibliography"/>
      </w:pPr>
      <w:r>
        <w:t xml:space="preserve">Loarie, S.R., Duffy, P.B., Hamilton, H., Asner, G.P., Field, C.B., Ackerly, D.D., 2009. The velocity of climate change. Nature 462, 1052–1055.</w:t>
      </w:r>
    </w:p>
    <w:bookmarkEnd w:id="765"/>
    <w:bookmarkStart w:id="766"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66"/>
    <w:bookmarkStart w:id="767"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67"/>
    <w:bookmarkStart w:id="768"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68"/>
    <w:bookmarkStart w:id="769" w:name="ref-louime2017sargassum"/>
    <w:p>
      <w:pPr>
        <w:pStyle w:val="Bibliography"/>
      </w:pPr>
      <w:r>
        <w:t xml:space="preserve">Louime, C., Fortune, J., Gervais, G., 2017. Sargassum invasion of coastal environments: A growing concern. American Journal of Environmental Sciences 13, 58–64.</w:t>
      </w:r>
    </w:p>
    <w:bookmarkEnd w:id="769"/>
    <w:bookmarkStart w:id="770" w:name="ref-lovelock2017mangrove"/>
    <w:p>
      <w:pPr>
        <w:pStyle w:val="Bibliography"/>
      </w:pPr>
      <w:r>
        <w:t xml:space="preserve">Lovelock, C.E., Feller, I.C., Reef, R., Hickey, S., Ball, M.C., 2017. Mangrove dieback during fluctuating sea levels. Scientific Reports 7, 1680.</w:t>
      </w:r>
    </w:p>
    <w:bookmarkEnd w:id="770"/>
    <w:bookmarkStart w:id="77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71"/>
    <w:bookmarkStart w:id="77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72"/>
    <w:bookmarkStart w:id="773" w:name="ref-malekmohamadi2020review"/>
    <w:p>
      <w:pPr>
        <w:pStyle w:val="Bibliography"/>
      </w:pPr>
      <w:r>
        <w:t xml:space="preserve">Malekmohamadi Faradonbe, S., Safi-Esfahani, F., Karimian-Kelishadrokhi, M., 2020. A review on neural turing machine (NTM). SN Computer Science 1, 333.</w:t>
      </w:r>
    </w:p>
    <w:bookmarkEnd w:id="773"/>
    <w:bookmarkStart w:id="775" w:name="ref-malvern_panalytical_rs3"/>
    <w:p>
      <w:pPr>
        <w:pStyle w:val="Bibliography"/>
      </w:pPr>
      <w:r>
        <w:t xml:space="preserve">Malvern Panalytical, 2023.</w:t>
      </w:r>
      <w:r>
        <w:t xml:space="preserve"> </w:t>
      </w:r>
      <w:hyperlink r:id="rId774">
        <w:r>
          <w:rPr>
            <w:rStyle w:val="Hyperlink"/>
          </w:rPr>
          <w:t xml:space="preserve">RS3 software</w:t>
        </w:r>
      </w:hyperlink>
      <w:r>
        <w:t xml:space="preserve">.</w:t>
      </w:r>
    </w:p>
    <w:bookmarkEnd w:id="775"/>
    <w:bookmarkStart w:id="776"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76"/>
    <w:bookmarkStart w:id="777" w:name="ref-marba2010mediterranean"/>
    <w:p>
      <w:pPr>
        <w:pStyle w:val="Bibliography"/>
      </w:pPr>
      <w:r>
        <w:t xml:space="preserve">Marbà, N., Duarte, C.M., 2010. Mediterranean warming triggers seagrass (posidonia oceanica) shoot mortality. Global change biology 16, 2366–2375.</w:t>
      </w:r>
    </w:p>
    <w:bookmarkEnd w:id="777"/>
    <w:bookmarkStart w:id="778"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78"/>
    <w:bookmarkStart w:id="77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79"/>
    <w:bookmarkStart w:id="780"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80"/>
    <w:bookmarkStart w:id="781" w:name="ref-marzuki2021mechanism"/>
    <w:p>
      <w:pPr>
        <w:pStyle w:val="Bibliography"/>
      </w:pPr>
      <w:r>
        <w:t xml:space="preserve">Marzuki, O.F., Teo, E.Y.L., Rafie, A.S.M., 2021. The mechanism of drone seeding technology: A review. Malays. For 84, 349–358.</w:t>
      </w:r>
    </w:p>
    <w:bookmarkEnd w:id="781"/>
    <w:bookmarkStart w:id="782"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82"/>
    <w:bookmarkStart w:id="784"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83">
        <w:r>
          <w:rPr>
            <w:rStyle w:val="Hyperlink"/>
          </w:rPr>
          <w:t xml:space="preserve">https://doi.org/10.3390/d15020161</w:t>
        </w:r>
      </w:hyperlink>
    </w:p>
    <w:bookmarkEnd w:id="784"/>
    <w:bookmarkStart w:id="78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85"/>
    <w:bookmarkStart w:id="786" w:name="ref-mcculloch1943logical"/>
    <w:p>
      <w:pPr>
        <w:pStyle w:val="Bibliography"/>
      </w:pPr>
      <w:r>
        <w:t xml:space="preserve">McCulloch, W.S., Pitts, W., 1943. A logical calculus of the ideas immanent in nervous activity. The bulletin of mathematical biophysics 5, 115–133.</w:t>
      </w:r>
    </w:p>
    <w:bookmarkEnd w:id="786"/>
    <w:bookmarkStart w:id="78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87">
        <w:r>
          <w:rPr>
            <w:rStyle w:val="Hyperlink"/>
          </w:rPr>
          <w:t xml:space="preserve">https://doi.org/10.3390/rs11060704</w:t>
        </w:r>
      </w:hyperlink>
    </w:p>
    <w:bookmarkEnd w:id="788"/>
    <w:bookmarkStart w:id="789" w:name="ref-mckenzie2020global"/>
    <w:p>
      <w:pPr>
        <w:pStyle w:val="Bibliography"/>
      </w:pPr>
      <w:r>
        <w:t xml:space="preserve">McKenzie, L.J., Nordlund, L.M., Jones, B.L., Cullen-Unsworth, L.C., Roelfsema, C., Unsworth, R.K., 2020. The global distribution of seagrass meadows. Environmental Research Letters 15, 074041.</w:t>
      </w:r>
    </w:p>
    <w:bookmarkEnd w:id="789"/>
    <w:bookmarkStart w:id="790" w:name="ref-mcleod2011blueprint"/>
    <w:p>
      <w:pPr>
        <w:pStyle w:val="Bibliography"/>
      </w:pPr>
      <w:r>
        <w:t xml:space="preserve">Mcleod, E., Chmura, G.L., Bouillon, S., Salm, R., Björk, M., Duarte, C.M., Lovelock, C.E., Schlesinger, W.H., Silliman, B.R., 2011. A blueprint for blue carbon: Toward an improved understanding of the role of vegetated coastal habitats in sequestering CO2. Frontiers in Ecology and the Environment 9, 552–560.</w:t>
      </w:r>
    </w:p>
    <w:bookmarkEnd w:id="790"/>
    <w:bookmarkStart w:id="791" w:name="ref-mcroy1977production"/>
    <w:p>
      <w:pPr>
        <w:pStyle w:val="Bibliography"/>
      </w:pPr>
      <w:r>
        <w:t xml:space="preserve">McRoy, C.P., McMillan, C., 1977. Production ecology and physiology of seagrasses.</w:t>
      </w:r>
    </w:p>
    <w:bookmarkEnd w:id="791"/>
    <w:bookmarkStart w:id="792"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92"/>
    <w:bookmarkStart w:id="793"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93"/>
    <w:bookmarkStart w:id="794" w:name="ref-meleder2018microphytobenthos"/>
    <w:p>
      <w:pPr>
        <w:pStyle w:val="Bibliography"/>
      </w:pPr>
      <w:r>
        <w:t xml:space="preserve">Méléder, V., Jesus, B., Barnett, A., Barillé, L., Lavaud, J., 2018. Microphytobenthos primary production estimated by hyperspectral reflectance. PloS one 13, e0197093.</w:t>
      </w:r>
    </w:p>
    <w:bookmarkEnd w:id="794"/>
    <w:bookmarkStart w:id="795"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95"/>
    <w:bookmarkStart w:id="797"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96">
        <w:r>
          <w:rPr>
            <w:rStyle w:val="Hyperlink"/>
          </w:rPr>
          <w:t xml:space="preserve">https://doi.org/10.1016/j.jphotobiol.2013.10.005</w:t>
        </w:r>
      </w:hyperlink>
    </w:p>
    <w:bookmarkEnd w:id="797"/>
    <w:bookmarkStart w:id="798"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98"/>
    <w:bookmarkStart w:id="800"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99">
        <w:r>
          <w:rPr>
            <w:rStyle w:val="Hyperlink"/>
          </w:rPr>
          <w:t xml:space="preserve">https://doi.org/10.1080/17445647.2021.1925170</w:t>
        </w:r>
      </w:hyperlink>
    </w:p>
    <w:bookmarkEnd w:id="800"/>
    <w:bookmarkStart w:id="801" w:name="ref-mienye2024recurrent"/>
    <w:p>
      <w:pPr>
        <w:pStyle w:val="Bibliography"/>
      </w:pPr>
      <w:r>
        <w:t xml:space="preserve">Mienye, I.D., Swart, T.G., Obaido, G., 2024. Recurrent neural networks: A comprehensive review of architectures, variants, and applications. Information 15, 517.</w:t>
      </w:r>
    </w:p>
    <w:bookmarkEnd w:id="801"/>
    <w:bookmarkStart w:id="802"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802"/>
    <w:bookmarkStart w:id="80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803">
        <w:r>
          <w:rPr>
            <w:rStyle w:val="Hyperlink"/>
          </w:rPr>
          <w:t xml:space="preserve">https://doi.org/10.1111/GCB.14108</w:t>
        </w:r>
      </w:hyperlink>
    </w:p>
    <w:bookmarkEnd w:id="804"/>
    <w:bookmarkStart w:id="805"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805"/>
    <w:bookmarkStart w:id="807"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806">
        <w:r>
          <w:rPr>
            <w:rStyle w:val="Hyperlink"/>
          </w:rPr>
          <w:t xml:space="preserve">https://doi.org/10.1038/s41598-021-83597-z</w:t>
        </w:r>
      </w:hyperlink>
    </w:p>
    <w:bookmarkEnd w:id="807"/>
    <w:bookmarkStart w:id="808"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808"/>
    <w:bookmarkStart w:id="809" w:name="ref-moreira2022underexplored"/>
    <w:p>
      <w:pPr>
        <w:pStyle w:val="Bibliography"/>
      </w:pPr>
      <w:r>
        <w:t xml:space="preserve">Moreira, A., Cruz, S., Marques, R., Cartaxana, P., 2022. The underexplored potential of green macroalgae in aquaculture. Reviews in Aquaculture 14, 5–26.</w:t>
      </w:r>
    </w:p>
    <w:bookmarkEnd w:id="809"/>
    <w:bookmarkStart w:id="81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810">
        <w:r>
          <w:rPr>
            <w:rStyle w:val="Hyperlink"/>
          </w:rPr>
          <w:t xml:space="preserve">https://doi.org/10.1017/s0031182002001476</w:t>
        </w:r>
      </w:hyperlink>
    </w:p>
    <w:bookmarkEnd w:id="811"/>
    <w:bookmarkStart w:id="812"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812"/>
    <w:bookmarkStart w:id="81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813"/>
    <w:bookmarkStart w:id="814"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814"/>
    <w:bookmarkStart w:id="815"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815"/>
    <w:bookmarkStart w:id="817"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16">
        <w:r>
          <w:rPr>
            <w:rStyle w:val="Hyperlink"/>
          </w:rPr>
          <w:t xml:space="preserve">https://doi.org/10.1002/eap.1682</w:t>
        </w:r>
      </w:hyperlink>
    </w:p>
    <w:bookmarkEnd w:id="817"/>
    <w:bookmarkStart w:id="818"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18"/>
    <w:bookmarkStart w:id="820"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19">
        <w:r>
          <w:rPr>
            <w:rStyle w:val="Hyperlink"/>
          </w:rPr>
          <w:t xml:space="preserve">https://doi.org/10.1038/s41586-018-0805-8</w:t>
        </w:r>
      </w:hyperlink>
    </w:p>
    <w:bookmarkEnd w:id="820"/>
    <w:bookmarkStart w:id="82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21"/>
    <w:bookmarkStart w:id="822" w:name="ref-nguyen2021"/>
    <w:p>
      <w:pPr>
        <w:pStyle w:val="Bibliography"/>
      </w:pPr>
      <w:r>
        <w:t xml:space="preserve">Nguyen, H.M., Ralph, P.J., Marı́n-Guirao, L., Pernice, M., Procaccini, G., 2021. Seagrasses in an era of ocean warming: A review. Biological Reviews 96, 2009–2030.</w:t>
      </w:r>
    </w:p>
    <w:bookmarkEnd w:id="822"/>
    <w:bookmarkStart w:id="82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23"/>
    <w:bookmarkStart w:id="82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24"/>
    <w:bookmarkStart w:id="825" w:name="ref-nixon1981remineralization"/>
    <w:p>
      <w:pPr>
        <w:pStyle w:val="Bibliography"/>
      </w:pPr>
      <w:r>
        <w:t xml:space="preserve">Nixon, S.W., 1981. Remineralization and nutrient cycling in coastal marine ecosystems, in: Estuaries and Nutrients. Springer, pp. 111–138.</w:t>
      </w:r>
    </w:p>
    <w:bookmarkEnd w:id="825"/>
    <w:bookmarkStart w:id="82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26"/>
    <w:bookmarkStart w:id="827" w:name="ref-novais2023use"/>
    <w:p>
      <w:pPr>
        <w:pStyle w:val="Bibliography"/>
      </w:pPr>
      <w:r>
        <w:t xml:space="preserve">Novais, J., Vieira, A., Bento-Gonçalves, A., Silva, S., Folharini, S., Marques, T., 2023. The use of UAVs for morphological coastal change monitoring—a bibliometric analysis. Drones 7, 629.</w:t>
      </w:r>
    </w:p>
    <w:bookmarkEnd w:id="827"/>
    <w:bookmarkStart w:id="828" w:name="ref-nowacek2007responses"/>
    <w:p>
      <w:pPr>
        <w:pStyle w:val="Bibliography"/>
      </w:pPr>
      <w:r>
        <w:t xml:space="preserve">Nowacek, D.P., Thorne, L.H., Johnston, D.W., Tyack, P.L., 2007. Responses of cetaceans to anthropogenic noise. Mammal Review 37, 81–115.</w:t>
      </w:r>
    </w:p>
    <w:bookmarkEnd w:id="828"/>
    <w:bookmarkStart w:id="829" w:name="ref-n1999primary"/>
    <w:p>
      <w:pPr>
        <w:pStyle w:val="Bibliography"/>
      </w:pPr>
      <w:r>
        <w:t xml:space="preserve">N-Uptake, A., 1999. Primary production by phytoplankton and microphytobenthos in estuaries. Estuaries 29, 93.</w:t>
      </w:r>
    </w:p>
    <w:bookmarkEnd w:id="829"/>
    <w:bookmarkStart w:id="830"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30"/>
    <w:bookmarkStart w:id="831" w:name="ref-nyberg2007introduced"/>
    <w:p>
      <w:pPr>
        <w:pStyle w:val="Bibliography"/>
      </w:pPr>
      <w:r>
        <w:t xml:space="preserve">Nyberg, C.D., 2007. Introduced marine macroalgae and habitat modifiers: Their ecological role and significant attributes. Department of Marine Ecology.</w:t>
      </w:r>
    </w:p>
    <w:bookmarkEnd w:id="831"/>
    <w:bookmarkStart w:id="832" w:name="ref-nyberg2009flora"/>
    <w:p>
      <w:pPr>
        <w:pStyle w:val="Bibliography"/>
      </w:pPr>
      <w:r>
        <w:t xml:space="preserve">Nyberg, C.D., Thomsen, M.S., Wallentinus, I., 2009. Flora and fauna associated with the introduced red alga gracilaria vermiculophylla. European Journal of Phycology 44, 395–403.</w:t>
      </w:r>
    </w:p>
    <w:bookmarkEnd w:id="832"/>
    <w:bookmarkStart w:id="833" w:name="ref-oh2017use"/>
    <w:p>
      <w:pPr>
        <w:pStyle w:val="Bibliography"/>
      </w:pPr>
      <w:r>
        <w:t xml:space="preserve">Oh, J., Kim, D., Lee, H., 2017. Use of a drone for mapping and time series image acquisition of tidal zones. Journal of the Korean Institute of Intelligent Systems 27, 119–125.</w:t>
      </w:r>
    </w:p>
    <w:bookmarkEnd w:id="833"/>
    <w:bookmarkStart w:id="834"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34"/>
    <w:bookmarkStart w:id="836" w:name="ref-Simon2024ShinyApp"/>
    <w:p>
      <w:pPr>
        <w:pStyle w:val="Bibliography"/>
      </w:pPr>
      <w:r>
        <w:t xml:space="preserve">Oiry, S., 2024.</w:t>
      </w:r>
      <w:r>
        <w:t xml:space="preserve"> </w:t>
      </w:r>
      <w:hyperlink r:id="rId835">
        <w:r>
          <w:rPr>
            <w:rStyle w:val="Hyperlink"/>
          </w:rPr>
          <w:t xml:space="preserve">Shiny app for validation dataset building</w:t>
        </w:r>
      </w:hyperlink>
      <w:r>
        <w:t xml:space="preserve">.</w:t>
      </w:r>
    </w:p>
    <w:bookmarkEnd w:id="836"/>
    <w:bookmarkStart w:id="837" w:name="ref-oiry2021using"/>
    <w:p>
      <w:pPr>
        <w:pStyle w:val="Bibliography"/>
      </w:pPr>
      <w:r>
        <w:t xml:space="preserve">Oiry, S., Barillé, L., 2021. Using sentinel-2 satellite imagery to develop microphytobenthos-based water quality indices in estuaries. Ecological Indicators 121, 107184.</w:t>
      </w:r>
    </w:p>
    <w:bookmarkEnd w:id="837"/>
    <w:bookmarkStart w:id="839"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38">
        <w:r>
          <w:rPr>
            <w:rStyle w:val="Hyperlink"/>
          </w:rPr>
          <w:t xml:space="preserve">https://doi.org/10.3390/rs16234383</w:t>
        </w:r>
      </w:hyperlink>
    </w:p>
    <w:bookmarkEnd w:id="839"/>
    <w:bookmarkStart w:id="841"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40">
        <w:r>
          <w:rPr>
            <w:rStyle w:val="Hyperlink"/>
          </w:rPr>
          <w:t xml:space="preserve">Vegan: Community ecology package</w:t>
        </w:r>
      </w:hyperlink>
      <w:r>
        <w:t xml:space="preserve">.</w:t>
      </w:r>
    </w:p>
    <w:bookmarkEnd w:id="841"/>
    <w:bookmarkStart w:id="84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42"/>
    <w:bookmarkStart w:id="84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43"/>
    <w:bookmarkStart w:id="844"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44"/>
    <w:bookmarkStart w:id="845" w:name="ref-otrachshenko2017fishing"/>
    <w:p>
      <w:pPr>
        <w:pStyle w:val="Bibliography"/>
      </w:pPr>
      <w:r>
        <w:t xml:space="preserve">Otrachshenko, V., Bosello, F., 2017. Fishing for answers? Impacts of marine ecosystem quality on coastal tourism demand. Tourism Economics 23, 963–980.</w:t>
      </w:r>
    </w:p>
    <w:bookmarkEnd w:id="845"/>
    <w:bookmarkStart w:id="846" w:name="ref-ouyang2014updated"/>
    <w:p>
      <w:pPr>
        <w:pStyle w:val="Bibliography"/>
      </w:pPr>
      <w:r>
        <w:t xml:space="preserve">Ouyang, X., Lee, S., 2014. Updated estimates of carbon accumulation rates in coastal marsh sediments. Biogeosciences 11, 5057–5071.</w:t>
      </w:r>
    </w:p>
    <w:bookmarkEnd w:id="846"/>
    <w:bookmarkStart w:id="847" w:name="ref-pan2016comparison"/>
    <w:p>
      <w:pPr>
        <w:pStyle w:val="Bibliography"/>
      </w:pPr>
      <w:r>
        <w:t xml:space="preserve">Pan, Z., Glennie, C., Fernandez-Diaz, J.C., Starek, M., 2016. Comparison of bathymetry and seagrass mapping with hyperspectral imagery and airborne bathymetric lidar in a shallow estuarine environment. International Journal of Remote Sensing 37, 516–536.</w:t>
      </w:r>
    </w:p>
    <w:bookmarkEnd w:id="847"/>
    <w:bookmarkStart w:id="8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48"/>
    <w:bookmarkStart w:id="85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49">
        <w:r>
          <w:rPr>
            <w:rStyle w:val="Hyperlink"/>
          </w:rPr>
          <w:t xml:space="preserve">https://doi.org/10.5281/zenodo.3463051</w:t>
        </w:r>
      </w:hyperlink>
    </w:p>
    <w:bookmarkEnd w:id="850"/>
    <w:bookmarkStart w:id="852" w:name="ref-WoRMS303450"/>
    <w:p>
      <w:pPr>
        <w:pStyle w:val="Bibliography"/>
      </w:pPr>
      <w:r>
        <w:t xml:space="preserve">Papenfuss, G.F., 1967.</w:t>
      </w:r>
      <w:r>
        <w:t xml:space="preserve"> </w:t>
      </w:r>
      <w:hyperlink r:id="rId851">
        <w:r>
          <w:rPr>
            <w:rStyle w:val="Hyperlink"/>
          </w:rPr>
          <w:t xml:space="preserve">Notes on algal nomenclature - v. Various chlorophyceae and rhodophyceae</w:t>
        </w:r>
      </w:hyperlink>
      <w:r>
        <w:t xml:space="preserve">. Phykos 5, 95–105.</w:t>
      </w:r>
    </w:p>
    <w:bookmarkEnd w:id="852"/>
    <w:bookmarkStart w:id="85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53"/>
    <w:bookmarkStart w:id="85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54"/>
    <w:bookmarkStart w:id="85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55"/>
    <w:bookmarkStart w:id="85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56"/>
    <w:bookmarkStart w:id="85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57"/>
    <w:bookmarkStart w:id="858"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58"/>
    <w:bookmarkStart w:id="85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59"/>
    <w:bookmarkStart w:id="860" w:name="ref-perkins2013measurement"/>
    <w:p>
      <w:pPr>
        <w:pStyle w:val="Bibliography"/>
      </w:pPr>
      <w:r>
        <w:t xml:space="preserve">Perkins, S.E., Alexander, L.V., 2013. On the measurement of heat waves. Journal of climate 26, 4500–4517.</w:t>
      </w:r>
    </w:p>
    <w:bookmarkEnd w:id="860"/>
    <w:bookmarkStart w:id="86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61"/>
    <w:bookmarkStart w:id="86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62"/>
    <w:bookmarkStart w:id="863"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63"/>
    <w:bookmarkStart w:id="864" w:name="ref-pitts1943linear"/>
    <w:p>
      <w:pPr>
        <w:pStyle w:val="Bibliography"/>
      </w:pPr>
      <w:r>
        <w:t xml:space="preserve">Pitts, W., 1943. The linear theory of neuron networks: The dynamic problem. The bulletin of mathematical biophysics 5, 23–31.</w:t>
      </w:r>
    </w:p>
    <w:bookmarkEnd w:id="864"/>
    <w:bookmarkStart w:id="866" w:name="ref-Rbase"/>
    <w:p>
      <w:pPr>
        <w:pStyle w:val="Bibliography"/>
      </w:pPr>
      <w:r>
        <w:t xml:space="preserve">R Core Team, 2023.</w:t>
      </w:r>
      <w:r>
        <w:t xml:space="preserve"> </w:t>
      </w:r>
      <w:hyperlink r:id="rId865">
        <w:r>
          <w:rPr>
            <w:rStyle w:val="Hyperlink"/>
          </w:rPr>
          <w:t xml:space="preserve">R: A language and environment for statistical computing</w:t>
        </w:r>
      </w:hyperlink>
      <w:r>
        <w:t xml:space="preserve">. R Foundation for Statistical Computing, Vienna, Austria.</w:t>
      </w:r>
    </w:p>
    <w:bookmarkEnd w:id="866"/>
    <w:bookmarkStart w:id="867" w:name="ref-raikar2001effect"/>
    <w:p>
      <w:pPr>
        <w:pStyle w:val="Bibliography"/>
      </w:pPr>
      <w:r>
        <w:t xml:space="preserve">Raikar, S., Iima, M., Fujita, Y., 2001. Effect of temperature, salinity and light intensity on the growth of gracilaria spp.(gracilariales, rhodophyta) from japan, malaysia and india.</w:t>
      </w:r>
    </w:p>
    <w:bookmarkEnd w:id="867"/>
    <w:bookmarkStart w:id="868"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68"/>
    <w:bookmarkStart w:id="869" w:name="ref-ramesh2020seagrass"/>
    <w:p>
      <w:pPr>
        <w:pStyle w:val="Bibliography"/>
      </w:pPr>
      <w:r>
        <w:t xml:space="preserve">Ramesh, C., Mohanraju, R., 2020. Seagrass ecosystems of andaman and nicobar islands: Status and future perspective. Environmental &amp; Earth Sciences Research Journal 7.</w:t>
      </w:r>
    </w:p>
    <w:bookmarkEnd w:id="869"/>
    <w:bookmarkStart w:id="870"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70"/>
    <w:bookmarkStart w:id="871"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71"/>
    <w:bookmarkStart w:id="872" w:name="ref-rasheed2011long"/>
    <w:p>
      <w:pPr>
        <w:pStyle w:val="Bibliography"/>
      </w:pPr>
      <w:r>
        <w:t xml:space="preserve">Rasheed, M.A., Unsworth, R.K., 2011. Long-term climate-associated dynamics of a tropical seagrass meadow: Implications for the future. Marine Ecology Progress Series 422, 93–103.</w:t>
      </w:r>
    </w:p>
    <w:bookmarkEnd w:id="872"/>
    <w:bookmarkStart w:id="87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73"/>
    <w:bookmarkStart w:id="874"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74"/>
    <w:bookmarkStart w:id="875"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75"/>
    <w:bookmarkStart w:id="876" w:name="ref-reimann2023population"/>
    <w:p>
      <w:pPr>
        <w:pStyle w:val="Bibliography"/>
      </w:pPr>
      <w:r>
        <w:t xml:space="preserve">Reimann, L., Vafeidis, A.T., Honsel, L.E., 2023. Population development as a driver of coastal risk: Current trends and future pathways. Cambridge Prisms: Coastal Futures 1, e14.</w:t>
      </w:r>
    </w:p>
    <w:bookmarkEnd w:id="876"/>
    <w:bookmarkStart w:id="8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77"/>
    <w:bookmarkStart w:id="879"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78">
        <w:r>
          <w:rPr>
            <w:rStyle w:val="Hyperlink"/>
          </w:rPr>
          <w:t xml:space="preserve">https://www.reuters.com/business/environment/aquafarming-becomes-main-global-source-fish-un-food-agency-says-2024-06-07/</w:t>
        </w:r>
      </w:hyperlink>
    </w:p>
    <w:bookmarkEnd w:id="879"/>
    <w:bookmarkStart w:id="880"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80"/>
    <w:bookmarkStart w:id="881"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81"/>
    <w:bookmarkStart w:id="882"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82"/>
    <w:bookmarkStart w:id="88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83"/>
    <w:bookmarkStart w:id="884"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84"/>
    <w:bookmarkStart w:id="885"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85"/>
    <w:bookmarkStart w:id="886" w:name="ref-roman2021using"/>
    <w:p>
      <w:pPr>
        <w:pStyle w:val="Bibliography"/>
      </w:pPr>
      <w:r>
        <w:t xml:space="preserve">Román, A., Tovar-Sánchez, A., Olivé, I., Navarro, G., 2021. Using a UAV-mounted multispectral camera for the monitoring of marine macrophytes. Frontiers in Marine Science 8, 722698.</w:t>
      </w:r>
    </w:p>
    <w:bookmarkEnd w:id="886"/>
    <w:bookmarkStart w:id="887"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87"/>
    <w:bookmarkStart w:id="888"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88"/>
    <w:bookmarkStart w:id="889" w:name="ref-romero2008sintering"/>
    <w:p>
      <w:pPr>
        <w:pStyle w:val="Bibliography"/>
      </w:pPr>
      <w:r>
        <w:t xml:space="preserve">Romero, M., Andrés, A., Alonso, R., Viguri, J., Rincón, J.M., 2008. Sintering behaviour of ceramic bodies from contaminated marine sediments. Ceramics International 34, 1917–1924.</w:t>
      </w:r>
    </w:p>
    <w:bookmarkEnd w:id="889"/>
    <w:bookmarkStart w:id="890" w:name="ref-rossiter2020uav"/>
    <w:p>
      <w:pPr>
        <w:pStyle w:val="Bibliography"/>
      </w:pPr>
      <w:r>
        <w:t xml:space="preserve">Rossiter, T., Furey, T., McCarthy, T., Stengel, D.B., 2020. UAV-mounted hyperspectral mapping of intertidal macroalgae. Estuarine, Coastal and Shelf Science 242, 106789.</w:t>
      </w:r>
    </w:p>
    <w:bookmarkEnd w:id="890"/>
    <w:bookmarkStart w:id="891" w:name="ref-rouse1974monitoring"/>
    <w:p>
      <w:pPr>
        <w:pStyle w:val="Bibliography"/>
      </w:pPr>
      <w:r>
        <w:t xml:space="preserve">Rouse, J.W., Haas, R.H., Schell, J.A., Deering, D.W., others, 1974. Monitoring vegetation systems in the great plains with ERTS. NASA Spec. Publ 351, 309.</w:t>
      </w:r>
    </w:p>
    <w:bookmarkEnd w:id="891"/>
    <w:bookmarkStart w:id="892" w:name="ref-rueness2005life"/>
    <w:p>
      <w:pPr>
        <w:pStyle w:val="Bibliography"/>
      </w:pPr>
      <w:r>
        <w:t xml:space="preserve">Rueness, J., 2005. Life history and molecular sequences of gracilaria vermiculophylla (gracilariales, rhodophyta), a new introduction to european waters. Phycologia 44, 120–128.</w:t>
      </w:r>
    </w:p>
    <w:bookmarkEnd w:id="892"/>
    <w:bookmarkStart w:id="893"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93"/>
    <w:bookmarkStart w:id="894" w:name="ref-Sage2020"/>
    <w:p>
      <w:pPr>
        <w:pStyle w:val="Bibliography"/>
      </w:pPr>
      <w:r>
        <w:t xml:space="preserve">Sage, R.F., 2020. Global change biology: A primer. Global Change Biology 26, 3–30.</w:t>
      </w:r>
    </w:p>
    <w:bookmarkEnd w:id="894"/>
    <w:bookmarkStart w:id="895" w:name="ref-sammut2010samuel"/>
    <w:p>
      <w:pPr>
        <w:pStyle w:val="Bibliography"/>
      </w:pPr>
      <w:r>
        <w:t xml:space="preserve">Sammut, C., Webb, G.I., 2010. Samuel’s checkers player. Encyclopedia of Machine Learning 881–881.</w:t>
      </w:r>
    </w:p>
    <w:bookmarkEnd w:id="895"/>
    <w:bookmarkStart w:id="89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96"/>
    <w:bookmarkStart w:id="89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97"/>
    <w:bookmarkStart w:id="89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98"/>
    <w:bookmarkStart w:id="899" w:name="ref-sarker2021machine"/>
    <w:p>
      <w:pPr>
        <w:pStyle w:val="Bibliography"/>
      </w:pPr>
      <w:r>
        <w:t xml:space="preserve">Sarker, I.H., 2021. Machine learning: Algorithms, real-world applications and research directions. SN computer science 2, 160.</w:t>
      </w:r>
    </w:p>
    <w:bookmarkEnd w:id="899"/>
    <w:bookmarkStart w:id="90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900"/>
    <w:bookmarkStart w:id="901" w:name="ref-savitzky1964smoothing"/>
    <w:p>
      <w:pPr>
        <w:pStyle w:val="Bibliography"/>
      </w:pPr>
      <w:r>
        <w:t xml:space="preserve">Savitzky, A., Golay, M.J., 1964. Smoothing and differentiation of data by simplified least squares procedures. Analytical chemistry 36, 1627–1639.</w:t>
      </w:r>
    </w:p>
    <w:bookmarkEnd w:id="901"/>
    <w:bookmarkStart w:id="90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902"/>
    <w:bookmarkStart w:id="90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903">
        <w:r>
          <w:rPr>
            <w:rStyle w:val="Hyperlink"/>
          </w:rPr>
          <w:t xml:space="preserve">https://doi.org/10.1016/j.ecoser.2022.101414</w:t>
        </w:r>
      </w:hyperlink>
    </w:p>
    <w:bookmarkEnd w:id="904"/>
    <w:bookmarkStart w:id="90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905">
        <w:r>
          <w:rPr>
            <w:rStyle w:val="Hyperlink"/>
          </w:rPr>
          <w:t xml:space="preserve">https://doi.org/10.3389/fevo.2021.767548</w:t>
        </w:r>
      </w:hyperlink>
    </w:p>
    <w:bookmarkEnd w:id="906"/>
    <w:bookmarkStart w:id="90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907">
        <w:r>
          <w:rPr>
            <w:rStyle w:val="Hyperlink"/>
          </w:rPr>
          <w:t xml:space="preserve">https://doi.org/10.21105/joss.00821</w:t>
        </w:r>
      </w:hyperlink>
    </w:p>
    <w:bookmarkEnd w:id="908"/>
    <w:bookmarkStart w:id="909" w:name="ref-Schmidt2003"/>
    <w:p>
      <w:pPr>
        <w:pStyle w:val="Bibliography"/>
      </w:pPr>
      <w:r>
        <w:t xml:space="preserve">Schmidt, K., Skidmore, A., 2003. Spectral discrimination of vegetation types in a coastal wetland. Remote sensing of Environment 85, 92–108.</w:t>
      </w:r>
    </w:p>
    <w:bookmarkEnd w:id="909"/>
    <w:bookmarkStart w:id="910" w:name="ref-schneider2012nih"/>
    <w:p>
      <w:pPr>
        <w:pStyle w:val="Bibliography"/>
      </w:pPr>
      <w:r>
        <w:t xml:space="preserve">Schneider, C.A., Rasband, W.S., Eliceiri, K.W., 2012. NIH image to ImageJ: 25 years of image analysis. Nature methods 9, 671–675.</w:t>
      </w:r>
    </w:p>
    <w:bookmarkEnd w:id="910"/>
    <w:bookmarkStart w:id="91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911"/>
    <w:bookmarkStart w:id="91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912"/>
    <w:bookmarkStart w:id="91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913">
        <w:r>
          <w:rPr>
            <w:rStyle w:val="Hyperlink"/>
          </w:rPr>
          <w:t xml:space="preserve">https://doi.org/10.1016/j.marenvres.2021.105475</w:t>
        </w:r>
      </w:hyperlink>
    </w:p>
    <w:bookmarkEnd w:id="914"/>
    <w:bookmarkStart w:id="91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915"/>
    <w:bookmarkStart w:id="91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916"/>
    <w:bookmarkStart w:id="918" w:name="Xbef41143b4d4042e58f11cfc27e216202646012"/>
    <w:p>
      <w:pPr>
        <w:pStyle w:val="Bibliography"/>
      </w:pPr>
      <w:r>
        <w:t xml:space="preserve">SHOM, n.d.</w:t>
      </w:r>
      <w:r>
        <w:t xml:space="preserve"> </w:t>
      </w:r>
      <w:hyperlink r:id="rId917">
        <w:r>
          <w:rPr>
            <w:rStyle w:val="Hyperlink"/>
          </w:rPr>
          <w:t xml:space="preserve">Service hydrographique et océanographique de la marine ; bathymétrie Litto3D® bretagne 2018-2021</w:t>
        </w:r>
      </w:hyperlink>
      <w:r>
        <w:t xml:space="preserve">.</w:t>
      </w:r>
    </w:p>
    <w:bookmarkEnd w:id="918"/>
    <w:bookmarkStart w:id="920" w:name="ref-shom_ram_2022"/>
    <w:p>
      <w:pPr>
        <w:pStyle w:val="Bibliography"/>
      </w:pPr>
      <w:r>
        <w:t xml:space="preserve">SHOM, 2022.</w:t>
      </w:r>
      <w:r>
        <w:t xml:space="preserve"> </w:t>
      </w:r>
      <w:hyperlink r:id="rId919">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20"/>
    <w:bookmarkStart w:id="921" w:name="ref-simberloff2021maintenance"/>
    <w:p>
      <w:pPr>
        <w:pStyle w:val="Bibliography"/>
      </w:pPr>
      <w:r>
        <w:t xml:space="preserve">Simberloff, D., 2021. Maintenance management and eradication of established aquatic invaders. Hydrobiologia 848, 2399–2420.</w:t>
      </w:r>
    </w:p>
    <w:bookmarkEnd w:id="921"/>
    <w:bookmarkStart w:id="922" w:name="ref-simic2018drones"/>
    <w:p>
      <w:pPr>
        <w:pStyle w:val="Bibliography"/>
      </w:pPr>
      <w:r>
        <w:t xml:space="preserve">Simic Milas, A., Cracknell, A.P., Warner, T.A., 2018. Drones–the third generation source of remote sensing data. International Journal of Remote Sensing.</w:t>
      </w:r>
    </w:p>
    <w:bookmarkEnd w:id="922"/>
    <w:bookmarkStart w:id="92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23"/>
    <w:bookmarkStart w:id="92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24"/>
    <w:bookmarkStart w:id="926" w:name="ref-Slaton2001"/>
    <w:p>
      <w:pPr>
        <w:pStyle w:val="Bibliography"/>
      </w:pPr>
      <w:r>
        <w:t xml:space="preserve">Slaton, M.R., Raymond Hunt Jr., E., Smith, W.K., 2001. Estimating near-infrared leaf reflectance from leaf structural characteristics. American Journal of Botany 88, 278–284. https://doi.org/</w:t>
      </w:r>
      <w:hyperlink r:id="rId925">
        <w:r>
          <w:rPr>
            <w:rStyle w:val="Hyperlink"/>
          </w:rPr>
          <w:t xml:space="preserve">https://doi.org/10.2307/2657019</w:t>
        </w:r>
      </w:hyperlink>
    </w:p>
    <w:bookmarkEnd w:id="926"/>
    <w:bookmarkStart w:id="92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27"/>
    <w:bookmarkStart w:id="928"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28"/>
    <w:bookmarkStart w:id="929"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29"/>
    <w:bookmarkStart w:id="93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30"/>
    <w:bookmarkStart w:id="93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31"/>
    <w:bookmarkStart w:id="932" w:name="ref-stan2020rstan"/>
    <w:p>
      <w:pPr>
        <w:pStyle w:val="Bibliography"/>
      </w:pPr>
      <w:r>
        <w:t xml:space="preserve">Stan Development Team, C., others, 2020. RStan: The r interface to stan. R package version 2.21. 2.</w:t>
      </w:r>
    </w:p>
    <w:bookmarkEnd w:id="932"/>
    <w:bookmarkStart w:id="933" w:name="ref-steinmetz2011atmospheric"/>
    <w:p>
      <w:pPr>
        <w:pStyle w:val="Bibliography"/>
      </w:pPr>
      <w:r>
        <w:t xml:space="preserve">Steinmetz, F., Deschamps, P.-Y., Ramon, D., 2011. Atmospheric correction in presence of sun glint: Application to MERIS. Optics express 19, 9783–9800.</w:t>
      </w:r>
    </w:p>
    <w:bookmarkEnd w:id="933"/>
    <w:bookmarkStart w:id="934"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34"/>
    <w:bookmarkStart w:id="936"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35">
        <w:r>
          <w:rPr>
            <w:rStyle w:val="Hyperlink"/>
          </w:rPr>
          <w:t xml:space="preserve">https://doi.org/10.1152/physiol.00040.2018</w:t>
        </w:r>
      </w:hyperlink>
    </w:p>
    <w:bookmarkEnd w:id="936"/>
    <w:bookmarkStart w:id="937"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37"/>
    <w:bookmarkStart w:id="938"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38"/>
    <w:bookmarkStart w:id="939"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39"/>
    <w:bookmarkStart w:id="940"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40"/>
    <w:bookmarkStart w:id="941" w:name="ref-surget2017seasonal"/>
    <w:p>
      <w:pPr>
        <w:pStyle w:val="Bibliography"/>
      </w:pPr>
      <w:r>
        <w:t xml:space="preserve">Surget, G., Le Lann, K., Delebecq, G., Kervarec, N., Donval, A., Poullaouec, M.-A., Bihannic, I., Poupart, N., Stiger-Pouvreau, V., 2017. Seasonal phenology and metabolomics of the introduced red macroalga</w:t>
      </w:r>
      <w:r>
        <w:t xml:space="preserve"> </w:t>
      </w:r>
      <w:r>
        <w:t xml:space="preserve">G</w:t>
      </w:r>
      <w:r>
        <w:t xml:space="preserve">racilaria vermiculophylla, monitored in the</w:t>
      </w:r>
      <w:r>
        <w:t xml:space="preserve"> </w:t>
      </w:r>
      <w:r>
        <w:t xml:space="preserve">B</w:t>
      </w:r>
      <w:r>
        <w:t xml:space="preserve">ay of</w:t>
      </w:r>
      <w:r>
        <w:t xml:space="preserve"> </w:t>
      </w:r>
      <w:r>
        <w:t xml:space="preserve">B</w:t>
      </w:r>
      <w:r>
        <w:t xml:space="preserve">rest (</w:t>
      </w:r>
      <w:r>
        <w:t xml:space="preserve">F</w:t>
      </w:r>
      <w:r>
        <w:t xml:space="preserve">rance). Journal of Applied Phycology 29, 2651–2666.</w:t>
      </w:r>
    </w:p>
    <w:bookmarkEnd w:id="941"/>
    <w:bookmarkStart w:id="942"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42"/>
    <w:bookmarkStart w:id="943"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43"/>
    <w:bookmarkStart w:id="94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44"/>
    <w:bookmarkStart w:id="946"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45">
        <w:r>
          <w:rPr>
            <w:rStyle w:val="Hyperlink"/>
          </w:rPr>
          <w:t xml:space="preserve">https://doi.org/10.1007/s11356-011-0479-3</w:t>
        </w:r>
      </w:hyperlink>
    </w:p>
    <w:bookmarkEnd w:id="946"/>
    <w:bookmarkStart w:id="947"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47"/>
    <w:bookmarkStart w:id="948"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8"/>
    <w:bookmarkStart w:id="949"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49"/>
    <w:bookmarkStart w:id="95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50"/>
    <w:bookmarkStart w:id="95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51"/>
    <w:bookmarkStart w:id="95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52"/>
    <w:bookmarkStart w:id="95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53"/>
    <w:bookmarkStart w:id="95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54"/>
    <w:bookmarkStart w:id="956" w:name="ref-Traganos2018"/>
    <w:p>
      <w:pPr>
        <w:pStyle w:val="Bibliography"/>
      </w:pPr>
      <w:r>
        <w:t xml:space="preserve">Traganos, D., Reinartz, P., 2018. Mapping mediterranean seagrasses with sentinel-2 imagery. Marine Pollution Bulletin 134, 197–209.</w:t>
      </w:r>
      <w:r>
        <w:t xml:space="preserve"> </w:t>
      </w:r>
      <w:hyperlink r:id="rId955">
        <w:r>
          <w:rPr>
            <w:rStyle w:val="Hyperlink"/>
          </w:rPr>
          <w:t xml:space="preserve">https://doi.org/10.1016/j.marpolbul.2017.06.075</w:t>
        </w:r>
      </w:hyperlink>
    </w:p>
    <w:bookmarkEnd w:id="956"/>
    <w:bookmarkStart w:id="95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57"/>
    <w:bookmarkStart w:id="95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58"/>
    <w:bookmarkStart w:id="960" w:name="ref-maritime_union_trade_2025"/>
    <w:p>
      <w:pPr>
        <w:pStyle w:val="Bibliography"/>
      </w:pPr>
      <w:r>
        <w:t xml:space="preserve">Union, M., 2025. How much trade is maritime? [WWW Document]. URL</w:t>
      </w:r>
      <w:r>
        <w:t xml:space="preserve"> </w:t>
      </w:r>
      <w:hyperlink r:id="rId959">
        <w:r>
          <w:rPr>
            <w:rStyle w:val="Hyperlink"/>
          </w:rPr>
          <w:t xml:space="preserve">https://maritime-union.org/how-much-trade-is-maritime</w:t>
        </w:r>
      </w:hyperlink>
    </w:p>
    <w:bookmarkEnd w:id="960"/>
    <w:bookmarkStart w:id="961" w:name="ref-unsworth2014biodiversity"/>
    <w:p>
      <w:pPr>
        <w:pStyle w:val="Bibliography"/>
      </w:pPr>
      <w:r>
        <w:t xml:space="preserve">Unsworth, R., Cullen-Unsworth, L.C., 2014. Biodiversity, ecosystem services, and the conservation of seagrass meadows. Coast. Conserv 19, 95.</w:t>
      </w:r>
    </w:p>
    <w:bookmarkEnd w:id="961"/>
    <w:bookmarkStart w:id="962" w:name="ref-unsworth2021seagrass"/>
    <w:p>
      <w:pPr>
        <w:pStyle w:val="Bibliography"/>
      </w:pPr>
      <w:r>
        <w:t xml:space="preserve">Unsworth, R.K., Butterworth, E.G., 2021. Seagrass meadows provide a significant resource in support of avifauna. Diversity 13, 363.</w:t>
      </w:r>
    </w:p>
    <w:bookmarkEnd w:id="962"/>
    <w:bookmarkStart w:id="963" w:name="ref-Unsworth2022"/>
    <w:p>
      <w:pPr>
        <w:pStyle w:val="Bibliography"/>
      </w:pPr>
      <w:r>
        <w:t xml:space="preserve">Unsworth, R.K., Cullen-Unsworth, L.C., Jones, B.L., Lilley, R.J., 2022. The planetary role of seagrass conservation. Science 377, 609–613.</w:t>
      </w:r>
    </w:p>
    <w:bookmarkEnd w:id="963"/>
    <w:bookmarkStart w:id="96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64"/>
    <w:bookmarkStart w:id="965" w:name="ref-unsworth2019seagrass"/>
    <w:p>
      <w:pPr>
        <w:pStyle w:val="Bibliography"/>
      </w:pPr>
      <w:r>
        <w:t xml:space="preserve">Unsworth, R.K., Nordlund, L.M., Cullen-Unsworth, L.C., 2019b. Seagrass meadows support global fisheries production. Conservation Letters 12, e12566.</w:t>
      </w:r>
    </w:p>
    <w:bookmarkEnd w:id="965"/>
    <w:bookmarkStart w:id="96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66"/>
    <w:bookmarkStart w:id="96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67">
        <w:r>
          <w:rPr>
            <w:rStyle w:val="Hyperlink"/>
          </w:rPr>
          <w:t xml:space="preserve">https://doi.org/10.1641/0006-3568(2004)054[0523:UISTSE]2.0.CO;2</w:t>
        </w:r>
      </w:hyperlink>
    </w:p>
    <w:bookmarkEnd w:id="968"/>
    <w:bookmarkStart w:id="969" w:name="ref-valderrama2013social"/>
    <w:p>
      <w:pPr>
        <w:pStyle w:val="Bibliography"/>
      </w:pPr>
      <w:r>
        <w:t xml:space="preserve">Valderrama, D., Cai, J., Hishamunda, N., Ridler, N., 2013. Social and economic dimensions of carrageenan seaweed farming.</w:t>
      </w:r>
    </w:p>
    <w:bookmarkEnd w:id="969"/>
    <w:bookmarkStart w:id="970"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70"/>
    <w:bookmarkStart w:id="97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71"/>
    <w:bookmarkStart w:id="97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72"/>
    <w:bookmarkStart w:id="97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73">
        <w:r>
          <w:rPr>
            <w:rStyle w:val="Hyperlink"/>
          </w:rPr>
          <w:t xml:space="preserve">https://doi.org/10.1127/0340-269X/2003/0033-0187</w:t>
        </w:r>
      </w:hyperlink>
    </w:p>
    <w:bookmarkEnd w:id="974"/>
    <w:bookmarkStart w:id="97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75"/>
    <w:bookmarkStart w:id="97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76"/>
    <w:bookmarkStart w:id="97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77"/>
    <w:bookmarkStart w:id="978"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78"/>
    <w:bookmarkStart w:id="97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79"/>
    <w:bookmarkStart w:id="98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80"/>
    <w:bookmarkStart w:id="981" w:name="ref-walker1992seagrass"/>
    <w:p>
      <w:pPr>
        <w:pStyle w:val="Bibliography"/>
      </w:pPr>
      <w:r>
        <w:t xml:space="preserve">Walker, D.I., McComb, A.J., 1992. Seagrass degradation in australian coastal waters. Marine Pollution Bulletin 25, 191–195.</w:t>
      </w:r>
    </w:p>
    <w:bookmarkEnd w:id="981"/>
    <w:bookmarkStart w:id="982" w:name="ref-wang2020estimation"/>
    <w:p>
      <w:pPr>
        <w:pStyle w:val="Bibliography"/>
      </w:pPr>
      <w:r>
        <w:t xml:space="preserve">Wang, Y., Fang, H., 2020. Estimation of LAI with the LiDAR technology: A review. Remote Sensing 12, 3457.</w:t>
      </w:r>
    </w:p>
    <w:bookmarkEnd w:id="982"/>
    <w:bookmarkStart w:id="983" w:name="ref-wang2022"/>
    <w:p>
      <w:pPr>
        <w:pStyle w:val="Bibliography"/>
      </w:pPr>
      <w:r>
        <w:t xml:space="preserve">Wang, Z., Fang, Z., Liang, J., Song, X., 2022. Assessment of global habitat suitability and risk of ocean green tides. Harmful Algae 119, 102324.</w:t>
      </w:r>
    </w:p>
    <w:bookmarkEnd w:id="983"/>
    <w:bookmarkStart w:id="98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84"/>
    <w:bookmarkStart w:id="986" w:name="ref-WEI2015399"/>
    <w:p>
      <w:pPr>
        <w:pStyle w:val="Bibliography"/>
      </w:pPr>
      <w:r>
        <w:t xml:space="preserve">Wei, P., Lu, Z., Song, J., 2015. Variable importance analysis: A comprehensive review. Reliability Engineering and System Safety 142, 399–432. https://doi.org/</w:t>
      </w:r>
      <w:hyperlink r:id="rId985">
        <w:r>
          <w:rPr>
            <w:rStyle w:val="Hyperlink"/>
          </w:rPr>
          <w:t xml:space="preserve">https://doi.org/10.1016/j.ress.2015.05.018</w:t>
        </w:r>
      </w:hyperlink>
    </w:p>
    <w:bookmarkEnd w:id="986"/>
    <w:bookmarkStart w:id="98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87"/>
    <w:bookmarkStart w:id="98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88"/>
    <w:bookmarkStart w:id="989"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89"/>
    <w:bookmarkStart w:id="990" w:name="ref-williams2007global"/>
    <w:p>
      <w:pPr>
        <w:pStyle w:val="Bibliography"/>
      </w:pPr>
      <w:r>
        <w:t xml:space="preserve">Williams, S.L., Smith, J.E., 2007. A global review of the distribution, taxonomy, and impacts of introduced seaweeds. Annu. Rev. Ecol. Evol. Syst. 38, 327–359.</w:t>
      </w:r>
    </w:p>
    <w:bookmarkEnd w:id="990"/>
    <w:bookmarkStart w:id="991"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91"/>
    <w:bookmarkStart w:id="992"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92"/>
    <w:bookmarkStart w:id="994"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93">
        <w:r>
          <w:rPr>
            <w:rStyle w:val="Hyperlink"/>
          </w:rPr>
          <w:t xml:space="preserve">https://doi.org/10.18637/jss.v077.i01</w:t>
        </w:r>
      </w:hyperlink>
    </w:p>
    <w:bookmarkEnd w:id="994"/>
    <w:bookmarkStart w:id="99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95"/>
    <w:bookmarkStart w:id="99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96">
        <w:r>
          <w:rPr>
            <w:rStyle w:val="Hyperlink"/>
          </w:rPr>
          <w:t xml:space="preserve">https://doi.org/10.1155/2017/1353691</w:t>
        </w:r>
      </w:hyperlink>
    </w:p>
    <w:bookmarkEnd w:id="997"/>
    <w:bookmarkStart w:id="99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98"/>
    <w:bookmarkStart w:id="999" w:name="ref-yuan2021review"/>
    <w:p>
      <w:pPr>
        <w:pStyle w:val="Bibliography"/>
      </w:pPr>
      <w:r>
        <w:t xml:space="preserve">Yuan, X., Shi, J., Gu, L., 2021. A review of deep learning methods for semantic segmentation of remote sensing imagery. Expert Systems with Applications 169, 114417.</w:t>
      </w:r>
    </w:p>
    <w:bookmarkEnd w:id="999"/>
    <w:bookmarkStart w:id="1000" w:name="ref-zahoor2023water"/>
    <w:p>
      <w:pPr>
        <w:pStyle w:val="Bibliography"/>
      </w:pPr>
      <w:r>
        <w:t xml:space="preserve">Zahoor, I., Mushtaq, A., 2023. Water pollution from agricultural activities: A critical global review. Int. J. Chem. Biochem. Sci 23, 164–176.</w:t>
      </w:r>
    </w:p>
    <w:bookmarkEnd w:id="1000"/>
    <w:bookmarkStart w:id="1002"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001">
        <w:r>
          <w:rPr>
            <w:rStyle w:val="Hyperlink"/>
          </w:rPr>
          <w:t xml:space="preserve">https://doi.org/10.3390/d14121077</w:t>
        </w:r>
      </w:hyperlink>
    </w:p>
    <w:bookmarkEnd w:id="1002"/>
    <w:bookmarkStart w:id="1003" w:name="ref-zhu2020analysis"/>
    <w:p>
      <w:pPr>
        <w:pStyle w:val="Bibliography"/>
      </w:pPr>
      <w:r>
        <w:t xml:space="preserve">Zhu, T., 2020. Analysis on the applicability of the random forest, in: Journal of Physics: Conference Series. IOP Publishing, p. 012123.</w:t>
      </w:r>
    </w:p>
    <w:bookmarkEnd w:id="1003"/>
    <w:bookmarkStart w:id="1004"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004"/>
    <w:bookmarkStart w:id="100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005"/>
    <w:bookmarkStart w:id="1006"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006"/>
    <w:bookmarkEnd w:id="1007"/>
    <w:bookmarkEnd w:id="100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5" Target="media/rId125.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33" Target="media/rId133.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60" Target="media/rId160.jpg" /><Relationship Type="http://schemas.openxmlformats.org/officeDocument/2006/relationships/image" Id="rId152" Target="media/rId152.jpg" /><Relationship Type="http://schemas.openxmlformats.org/officeDocument/2006/relationships/image" Id="rId165" Target="media/rId165.jpg" /><Relationship Type="http://schemas.openxmlformats.org/officeDocument/2006/relationships/image" Id="rId175" Target="media/rId175.jpg" /><Relationship Type="http://schemas.openxmlformats.org/officeDocument/2006/relationships/image" Id="rId180" Target="media/rId180.jpg" /><Relationship Type="http://schemas.openxmlformats.org/officeDocument/2006/relationships/image" Id="rId185" Target="media/rId185.jpg" /><Relationship Type="http://schemas.openxmlformats.org/officeDocument/2006/relationships/image" Id="rId193" Target="media/rId193.jpg" /><Relationship Type="http://schemas.openxmlformats.org/officeDocument/2006/relationships/image" Id="rId197" Target="media/rId197.jpg" /><Relationship Type="http://schemas.openxmlformats.org/officeDocument/2006/relationships/image" Id="rId202" Target="media/rId202.jpg" /><Relationship Type="http://schemas.openxmlformats.org/officeDocument/2006/relationships/image" Id="rId156" Target="media/rId156.png" /><Relationship Type="http://schemas.openxmlformats.org/officeDocument/2006/relationships/image" Id="rId189" Target="media/rId189.png" /><Relationship Type="http://schemas.openxmlformats.org/officeDocument/2006/relationships/image" Id="rId209" Target="media/rId209.png" /><Relationship Type="http://schemas.openxmlformats.org/officeDocument/2006/relationships/image" Id="rId221" Target="media/rId221.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351" Target="media/rId351.png" /><Relationship Type="http://schemas.openxmlformats.org/officeDocument/2006/relationships/image" Id="rId341" Target="media/rId341.png" /><Relationship Type="http://schemas.openxmlformats.org/officeDocument/2006/relationships/image" Id="rId319" Target="media/rId319.png" /><Relationship Type="http://schemas.openxmlformats.org/officeDocument/2006/relationships/image" Id="rId329" Target="media/rId329.png" /><Relationship Type="http://schemas.openxmlformats.org/officeDocument/2006/relationships/image" Id="rId355" Target="media/rId355.png" /><Relationship Type="http://schemas.openxmlformats.org/officeDocument/2006/relationships/image" Id="rId337" Target="media/rId337.png" /><Relationship Type="http://schemas.openxmlformats.org/officeDocument/2006/relationships/image" Id="rId314" Target="media/rId314.png" /><Relationship Type="http://schemas.openxmlformats.org/officeDocument/2006/relationships/image" Id="rId373" Target="media/rId373.png" /><Relationship Type="http://schemas.openxmlformats.org/officeDocument/2006/relationships/image" Id="rId346" Target="media/rId346.png" /><Relationship Type="http://schemas.openxmlformats.org/officeDocument/2006/relationships/image" Id="rId368" Target="media/rId368.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448" Target="media/rId448.png" /><Relationship Type="http://schemas.openxmlformats.org/officeDocument/2006/relationships/image" Id="rId435" Target="media/rId435.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29" Target="media/rId429.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0" Target="media/rId460.png" /><Relationship Type="http://schemas.openxmlformats.org/officeDocument/2006/relationships/image" Id="rId407" Target="media/rId407.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478" Target="media/rId478.jpg" /><Relationship Type="http://schemas.openxmlformats.org/officeDocument/2006/relationships/image" Id="rId491" Target="media/rId491.jpg" /><Relationship Type="http://schemas.openxmlformats.org/officeDocument/2006/relationships/image" Id="rId495" Target="media/rId495.jpg" /><Relationship Type="http://schemas.openxmlformats.org/officeDocument/2006/relationships/image" Id="rId487" Target="media/rId487.jpg" /><Relationship Type="http://schemas.openxmlformats.org/officeDocument/2006/relationships/image" Id="rId482" Target="media/rId482.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66" Target="http://arxiv.org/abs/1710.02939" TargetMode="External" /><Relationship Type="http://schemas.openxmlformats.org/officeDocument/2006/relationships/hyperlink" Id="rId516" Target="http://prisma.asi.it/missionselect/docs/PRISMA%20Product%20Specifications_Is2_3.pdf" TargetMode="External" /><Relationship Type="http://schemas.openxmlformats.org/officeDocument/2006/relationships/hyperlink" Id="rId583" Target="https://CRAN.R-project.org/package = shiny" TargetMode="External" /><Relationship Type="http://schemas.openxmlformats.org/officeDocument/2006/relationships/hyperlink" Id="rId701" Target="https://CRAN.R-project.org/package = terra" TargetMode="External" /><Relationship Type="http://schemas.openxmlformats.org/officeDocument/2006/relationships/hyperlink" Id="rId669" Target="https://CRAN.R-project.org/package=rsample" TargetMode="External" /><Relationship Type="http://schemas.openxmlformats.org/officeDocument/2006/relationships/hyperlink" Id="rId840" Target="https://CRAN.R-project.org/package=vegan" TargetMode="External" /><Relationship Type="http://schemas.openxmlformats.org/officeDocument/2006/relationships/hyperlink" Id="rId74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19" Target="https://diffusion.shom.fr/references-altimetriques-maritimes-ram.html" TargetMode="External" /><Relationship Type="http://schemas.openxmlformats.org/officeDocument/2006/relationships/hyperlink" Id="rId816" Target="https://doi.org/10.1002/eap.1682" TargetMode="External" /><Relationship Type="http://schemas.openxmlformats.org/officeDocument/2006/relationships/hyperlink" Id="rId57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76" Target="https://doi.org/10.1007/s00227-012-1987-5" TargetMode="External" /><Relationship Type="http://schemas.openxmlformats.org/officeDocument/2006/relationships/hyperlink" Id="rId610" Target="https://doi.org/10.1007/s11099-007-0084-3" TargetMode="External" /><Relationship Type="http://schemas.openxmlformats.org/officeDocument/2006/relationships/hyperlink" Id="rId945" Target="https://doi.org/10.1007/s11356-011-0479-3" TargetMode="External" /><Relationship Type="http://schemas.openxmlformats.org/officeDocument/2006/relationships/hyperlink" Id="rId534" Target="https://doi.org/10.1007/s12237-021-00949-8" TargetMode="External" /><Relationship Type="http://schemas.openxmlformats.org/officeDocument/2006/relationships/hyperlink" Id="rId736" Target="https://doi.org/10.1016/S0034-4257(70)80021-9" TargetMode="External" /><Relationship Type="http://schemas.openxmlformats.org/officeDocument/2006/relationships/hyperlink" Id="rId726" Target="https://doi.org/10.1016/S0304-4238(05)80016-0" TargetMode="External" /><Relationship Type="http://schemas.openxmlformats.org/officeDocument/2006/relationships/hyperlink" Id="rId585" Target="https://doi.org/10.1016/j.algal.2017.04.021" TargetMode="External" /><Relationship Type="http://schemas.openxmlformats.org/officeDocument/2006/relationships/hyperlink" Id="rId529" Target="https://doi.org/10.1016/j.aquabot.2009.11.006" TargetMode="External" /><Relationship Type="http://schemas.openxmlformats.org/officeDocument/2006/relationships/hyperlink" Id="rId574" Target="https://doi.org/10.1016/j.csr.2013.01.010" TargetMode="External" /><Relationship Type="http://schemas.openxmlformats.org/officeDocument/2006/relationships/hyperlink" Id="rId606" Target="https://doi.org/10.1016/j.ecolind.2020.107018" TargetMode="External" /><Relationship Type="http://schemas.openxmlformats.org/officeDocument/2006/relationships/hyperlink" Id="rId903" Target="https://doi.org/10.1016/j.ecoser.2022.101414" TargetMode="External" /><Relationship Type="http://schemas.openxmlformats.org/officeDocument/2006/relationships/hyperlink" Id="rId748" Target="https://doi.org/10.1016/j.ecss.2005.12.004" TargetMode="External" /><Relationship Type="http://schemas.openxmlformats.org/officeDocument/2006/relationships/hyperlink" Id="rId677" Target="https://doi.org/10.1016/j.ecss.2021.107320" TargetMode="External" /><Relationship Type="http://schemas.openxmlformats.org/officeDocument/2006/relationships/hyperlink" Id="rId707" Target="https://doi.org/10.1016/j.envpol.2021.117731" TargetMode="External" /><Relationship Type="http://schemas.openxmlformats.org/officeDocument/2006/relationships/hyperlink" Id="rId525" Target="https://doi.org/10.1016/j.jembe.2013.04.012" TargetMode="External" /><Relationship Type="http://schemas.openxmlformats.org/officeDocument/2006/relationships/hyperlink" Id="rId796" Target="https://doi.org/10.1016/j.jphotobiol.2013.10.005" TargetMode="External" /><Relationship Type="http://schemas.openxmlformats.org/officeDocument/2006/relationships/hyperlink" Id="rId913" Target="https://doi.org/10.1016/j.marenvres.2021.105475" TargetMode="External" /><Relationship Type="http://schemas.openxmlformats.org/officeDocument/2006/relationships/hyperlink" Id="rId955" Target="https://doi.org/10.1016/j.marpolbul.2017.06.075" TargetMode="External" /><Relationship Type="http://schemas.openxmlformats.org/officeDocument/2006/relationships/hyperlink" Id="rId985" Target="https://doi.org/10.1016/j.ress.2015.05.018" TargetMode="External" /><Relationship Type="http://schemas.openxmlformats.org/officeDocument/2006/relationships/hyperlink" Id="rId527" Target="https://doi.org/10.1016/j.rse.2010.12.008" TargetMode="External" /><Relationship Type="http://schemas.openxmlformats.org/officeDocument/2006/relationships/hyperlink" Id="rId632" Target="https://doi.org/10.1016/j.rse.2015.01.027" TargetMode="External" /><Relationship Type="http://schemas.openxmlformats.org/officeDocument/2006/relationships/hyperlink" Id="rId699" Target="https://doi.org/10.1016/j.rse.2015.05.023" TargetMode="External" /><Relationship Type="http://schemas.openxmlformats.org/officeDocument/2006/relationships/hyperlink" Id="rId710" Target="https://doi.org/10.1016/j.rse.2017.01.037" TargetMode="External" /><Relationship Type="http://schemas.openxmlformats.org/officeDocument/2006/relationships/hyperlink" Id="rId614" Target="https://doi.org/10.1016/j.rse.2023.113554" TargetMode="External" /><Relationship Type="http://schemas.openxmlformats.org/officeDocument/2006/relationships/hyperlink" Id="rId619" Target="https://doi.org/10.1016/j.rse.2024.114340" TargetMode="External" /><Relationship Type="http://schemas.openxmlformats.org/officeDocument/2006/relationships/hyperlink" Id="rId540" Target="https://doi.org/10.1016/j.seares.2014.02.014" TargetMode="External" /><Relationship Type="http://schemas.openxmlformats.org/officeDocument/2006/relationships/hyperlink" Id="rId810" Target="https://doi.org/10.1017/s0031182002001476" TargetMode="External" /><Relationship Type="http://schemas.openxmlformats.org/officeDocument/2006/relationships/hyperlink" Id="rId819" Target="https://doi.org/10.1038/s41586-018-0805-8" TargetMode="External" /><Relationship Type="http://schemas.openxmlformats.org/officeDocument/2006/relationships/hyperlink" Id="rId806" Target="https://doi.org/10.1038/s41598-021-83597-z" TargetMode="External" /><Relationship Type="http://schemas.openxmlformats.org/officeDocument/2006/relationships/hyperlink" Id="rId617" Target="https://doi.org/10.1038/s43247-024-01543-z" TargetMode="External" /><Relationship Type="http://schemas.openxmlformats.org/officeDocument/2006/relationships/hyperlink" Id="rId742" Target="https://doi.org/10.1063/1.44433" TargetMode="External" /><Relationship Type="http://schemas.openxmlformats.org/officeDocument/2006/relationships/hyperlink" Id="rId799" Target="https://doi.org/10.1080/17445647.2021.1925170" TargetMode="External" /><Relationship Type="http://schemas.openxmlformats.org/officeDocument/2006/relationships/hyperlink" Id="rId803" Target="https://doi.org/10.1111/GCB.14108" TargetMode="External" /><Relationship Type="http://schemas.openxmlformats.org/officeDocument/2006/relationships/hyperlink" Id="rId973" Target="https://doi.org/10.1127/0340-269X/2003/0033-0187" TargetMode="External" /><Relationship Type="http://schemas.openxmlformats.org/officeDocument/2006/relationships/hyperlink" Id="rId935" Target="https://doi.org/10.1152/physiol.00040.2018" TargetMode="External" /><Relationship Type="http://schemas.openxmlformats.org/officeDocument/2006/relationships/hyperlink" Id="rId996" Target="https://doi.org/10.1155/2017/1353691" TargetMode="External" /><Relationship Type="http://schemas.openxmlformats.org/officeDocument/2006/relationships/hyperlink" Id="rId728" Target="https://doi.org/10.1177/0309133309339563" TargetMode="External" /><Relationship Type="http://schemas.openxmlformats.org/officeDocument/2006/relationships/hyperlink" Id="rId621" Target="https://doi.org/10.15468/n4ak6x" TargetMode="External" /><Relationship Type="http://schemas.openxmlformats.org/officeDocument/2006/relationships/hyperlink" Id="rId967" Target="https://doi.org/10.1641/0006-3568(2004)054[0523:UISTSE]2.0.CO;2" TargetMode="External" /><Relationship Type="http://schemas.openxmlformats.org/officeDocument/2006/relationships/hyperlink" Id="rId571" Target="https://doi.org/10.18637/jss.v076.i01" TargetMode="External" /><Relationship Type="http://schemas.openxmlformats.org/officeDocument/2006/relationships/hyperlink" Id="rId993" Target="https://doi.org/10.18637/jss.v077.i01" TargetMode="External" /><Relationship Type="http://schemas.openxmlformats.org/officeDocument/2006/relationships/hyperlink" Id="rId561" Target="https://doi.org/10.18637/jss.v080.i01" TargetMode="External" /><Relationship Type="http://schemas.openxmlformats.org/officeDocument/2006/relationships/hyperlink" Id="rId557" Target="https://doi.org/10.18637/jss.v100.i05" TargetMode="External" /><Relationship Type="http://schemas.openxmlformats.org/officeDocument/2006/relationships/hyperlink" Id="rId907" Target="https://doi.org/10.21105/joss.00821" TargetMode="External" /><Relationship Type="http://schemas.openxmlformats.org/officeDocument/2006/relationships/hyperlink" Id="rId925" Target="https://doi.org/10.2307/2657019" TargetMode="External" /><Relationship Type="http://schemas.openxmlformats.org/officeDocument/2006/relationships/hyperlink" Id="rId657" Target="https://doi.org/10.2785/7794" TargetMode="External" /><Relationship Type="http://schemas.openxmlformats.org/officeDocument/2006/relationships/hyperlink" Id="rId559" Target="https://doi.org/10.32614/RJ-2018-017" TargetMode="External" /><Relationship Type="http://schemas.openxmlformats.org/officeDocument/2006/relationships/hyperlink" Id="rId684" Target="https://doi.org/10.32614/RJ-2020-013" TargetMode="External" /><Relationship Type="http://schemas.openxmlformats.org/officeDocument/2006/relationships/hyperlink" Id="rId905" Target="https://doi.org/10.3389/fevo.2021.767548" TargetMode="External" /><Relationship Type="http://schemas.openxmlformats.org/officeDocument/2006/relationships/hyperlink" Id="rId553" Target="https://doi.org/10.3390/RS14020307" TargetMode="External" /><Relationship Type="http://schemas.openxmlformats.org/officeDocument/2006/relationships/hyperlink" Id="rId696" Target="https://doi.org/10.3390/app8122688" TargetMode="External" /><Relationship Type="http://schemas.openxmlformats.org/officeDocument/2006/relationships/hyperlink" Id="rId1001" Target="https://doi.org/10.3390/d14121077" TargetMode="External" /><Relationship Type="http://schemas.openxmlformats.org/officeDocument/2006/relationships/hyperlink" Id="rId783" Target="https://doi.org/10.3390/d15020161" TargetMode="External" /><Relationship Type="http://schemas.openxmlformats.org/officeDocument/2006/relationships/hyperlink" Id="rId787" Target="https://doi.org/10.3390/rs11060704" TargetMode="External" /><Relationship Type="http://schemas.openxmlformats.org/officeDocument/2006/relationships/hyperlink" Id="rId637" Target="https://doi.org/10.3390/rs14020346" TargetMode="External" /><Relationship Type="http://schemas.openxmlformats.org/officeDocument/2006/relationships/hyperlink" Id="rId635" Target="https://doi.org/10.3390/rs14133124" TargetMode="External" /><Relationship Type="http://schemas.openxmlformats.org/officeDocument/2006/relationships/hyperlink" Id="rId838" Target="https://doi.org/10.3390/rs16234383" TargetMode="External" /><Relationship Type="http://schemas.openxmlformats.org/officeDocument/2006/relationships/hyperlink" Id="rId595" Target="https://doi.org/10.48670/moi-00311" TargetMode="External" /><Relationship Type="http://schemas.openxmlformats.org/officeDocument/2006/relationships/hyperlink" Id="rId849" Target="https://doi.org/10.5281/zenodo.3463051" TargetMode="External" /><Relationship Type="http://schemas.openxmlformats.org/officeDocument/2006/relationships/hyperlink" Id="rId593" Target="https://doi.org/10.59327/IPCC/AR6-9789291691647.001" TargetMode="External" /><Relationship Type="http://schemas.openxmlformats.org/officeDocument/2006/relationships/hyperlink" Id="rId649"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50" Target="https://ipbes.net/global-assessment%0Ahttps://ipbes.net/global-assessment-report-biodiversity-ecosystem-services" TargetMode="External" /><Relationship Type="http://schemas.openxmlformats.org/officeDocument/2006/relationships/hyperlink" Id="rId851" Target="https://marinespecies.org/aphia.php?p = sourcedetails&amp;id = 303450" TargetMode="External" /><Relationship Type="http://schemas.openxmlformats.org/officeDocument/2006/relationships/hyperlink" Id="rId959" Target="https://maritime-union.org/how-much-trade-is-maritime" TargetMode="External" /><Relationship Type="http://schemas.openxmlformats.org/officeDocument/2006/relationships/hyperlink" Id="rId835"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17" Target="https://services.data.shom.fr/geonetwork/srv/fre/catalog.search#/metadata/BATHYMETRIE_LITTO3D_BZH_2018_2021.xml" TargetMode="External" /><Relationship Type="http://schemas.openxmlformats.org/officeDocument/2006/relationships/hyperlink" Id="rId865" Target="https://www.R-project.org/" TargetMode="External" /><Relationship Type="http://schemas.openxmlformats.org/officeDocument/2006/relationships/hyperlink" Id="rId506" Target="https://www.agisoft.com/" TargetMode="External" /><Relationship Type="http://schemas.openxmlformats.org/officeDocument/2006/relationships/hyperlink" Id="rId28" Target="https://www.dlr.de/en" TargetMode="External" /><Relationship Type="http://schemas.openxmlformats.org/officeDocument/2006/relationships/hyperlink" Id="rId713" Target="https://www.ign.fr" TargetMode="External" /><Relationship Type="http://schemas.openxmlformats.org/officeDocument/2006/relationships/hyperlink" Id="rId659" Target="https://www.imo.org" TargetMode="External" /><Relationship Type="http://schemas.openxmlformats.org/officeDocument/2006/relationships/hyperlink" Id="rId717" Target="https://www.ioc-sealevelmonitoring.org/station.php?code = lecy" TargetMode="External" /><Relationship Type="http://schemas.openxmlformats.org/officeDocument/2006/relationships/hyperlink" Id="rId720" Target="https://www.itopf.org/knowledge-resources/data-statistics/statistics/" TargetMode="External" /><Relationship Type="http://schemas.openxmlformats.org/officeDocument/2006/relationships/hyperlink" Id="rId774" Target="https://www.malvernpanalytical.com/en/support/product-support/software/rs3" TargetMode="External" /><Relationship Type="http://schemas.openxmlformats.org/officeDocument/2006/relationships/hyperlink" Id="rId878" Target="https://www.reuters.com/business/environment/aquafarming-becomes-main-global-source-fish-un-food-agency-says-2024-06-07/" TargetMode="External" /><Relationship Type="http://schemas.openxmlformats.org/officeDocument/2006/relationships/hyperlink" Id="rId74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66" Target="http://arxiv.org/abs/1710.02939" TargetMode="External" /><Relationship Type="http://schemas.openxmlformats.org/officeDocument/2006/relationships/hyperlink" Id="rId516" Target="http://prisma.asi.it/missionselect/docs/PRISMA%20Product%20Specifications_Is2_3.pdf" TargetMode="External" /><Relationship Type="http://schemas.openxmlformats.org/officeDocument/2006/relationships/hyperlink" Id="rId583" Target="https://CRAN.R-project.org/package = shiny" TargetMode="External" /><Relationship Type="http://schemas.openxmlformats.org/officeDocument/2006/relationships/hyperlink" Id="rId701" Target="https://CRAN.R-project.org/package = terra" TargetMode="External" /><Relationship Type="http://schemas.openxmlformats.org/officeDocument/2006/relationships/hyperlink" Id="rId669" Target="https://CRAN.R-project.org/package=rsample" TargetMode="External" /><Relationship Type="http://schemas.openxmlformats.org/officeDocument/2006/relationships/hyperlink" Id="rId840" Target="https://CRAN.R-project.org/package=vegan" TargetMode="External" /><Relationship Type="http://schemas.openxmlformats.org/officeDocument/2006/relationships/hyperlink" Id="rId74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19" Target="https://diffusion.shom.fr/references-altimetriques-maritimes-ram.html" TargetMode="External" /><Relationship Type="http://schemas.openxmlformats.org/officeDocument/2006/relationships/hyperlink" Id="rId816" Target="https://doi.org/10.1002/eap.1682" TargetMode="External" /><Relationship Type="http://schemas.openxmlformats.org/officeDocument/2006/relationships/hyperlink" Id="rId57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76" Target="https://doi.org/10.1007/s00227-012-1987-5" TargetMode="External" /><Relationship Type="http://schemas.openxmlformats.org/officeDocument/2006/relationships/hyperlink" Id="rId610" Target="https://doi.org/10.1007/s11099-007-0084-3" TargetMode="External" /><Relationship Type="http://schemas.openxmlformats.org/officeDocument/2006/relationships/hyperlink" Id="rId945" Target="https://doi.org/10.1007/s11356-011-0479-3" TargetMode="External" /><Relationship Type="http://schemas.openxmlformats.org/officeDocument/2006/relationships/hyperlink" Id="rId534" Target="https://doi.org/10.1007/s12237-021-00949-8" TargetMode="External" /><Relationship Type="http://schemas.openxmlformats.org/officeDocument/2006/relationships/hyperlink" Id="rId736" Target="https://doi.org/10.1016/S0034-4257(70)80021-9" TargetMode="External" /><Relationship Type="http://schemas.openxmlformats.org/officeDocument/2006/relationships/hyperlink" Id="rId726" Target="https://doi.org/10.1016/S0304-4238(05)80016-0" TargetMode="External" /><Relationship Type="http://schemas.openxmlformats.org/officeDocument/2006/relationships/hyperlink" Id="rId585" Target="https://doi.org/10.1016/j.algal.2017.04.021" TargetMode="External" /><Relationship Type="http://schemas.openxmlformats.org/officeDocument/2006/relationships/hyperlink" Id="rId529" Target="https://doi.org/10.1016/j.aquabot.2009.11.006" TargetMode="External" /><Relationship Type="http://schemas.openxmlformats.org/officeDocument/2006/relationships/hyperlink" Id="rId574" Target="https://doi.org/10.1016/j.csr.2013.01.010" TargetMode="External" /><Relationship Type="http://schemas.openxmlformats.org/officeDocument/2006/relationships/hyperlink" Id="rId606" Target="https://doi.org/10.1016/j.ecolind.2020.107018" TargetMode="External" /><Relationship Type="http://schemas.openxmlformats.org/officeDocument/2006/relationships/hyperlink" Id="rId903" Target="https://doi.org/10.1016/j.ecoser.2022.101414" TargetMode="External" /><Relationship Type="http://schemas.openxmlformats.org/officeDocument/2006/relationships/hyperlink" Id="rId748" Target="https://doi.org/10.1016/j.ecss.2005.12.004" TargetMode="External" /><Relationship Type="http://schemas.openxmlformats.org/officeDocument/2006/relationships/hyperlink" Id="rId677" Target="https://doi.org/10.1016/j.ecss.2021.107320" TargetMode="External" /><Relationship Type="http://schemas.openxmlformats.org/officeDocument/2006/relationships/hyperlink" Id="rId707" Target="https://doi.org/10.1016/j.envpol.2021.117731" TargetMode="External" /><Relationship Type="http://schemas.openxmlformats.org/officeDocument/2006/relationships/hyperlink" Id="rId525" Target="https://doi.org/10.1016/j.jembe.2013.04.012" TargetMode="External" /><Relationship Type="http://schemas.openxmlformats.org/officeDocument/2006/relationships/hyperlink" Id="rId796" Target="https://doi.org/10.1016/j.jphotobiol.2013.10.005" TargetMode="External" /><Relationship Type="http://schemas.openxmlformats.org/officeDocument/2006/relationships/hyperlink" Id="rId913" Target="https://doi.org/10.1016/j.marenvres.2021.105475" TargetMode="External" /><Relationship Type="http://schemas.openxmlformats.org/officeDocument/2006/relationships/hyperlink" Id="rId955" Target="https://doi.org/10.1016/j.marpolbul.2017.06.075" TargetMode="External" /><Relationship Type="http://schemas.openxmlformats.org/officeDocument/2006/relationships/hyperlink" Id="rId985" Target="https://doi.org/10.1016/j.ress.2015.05.018" TargetMode="External" /><Relationship Type="http://schemas.openxmlformats.org/officeDocument/2006/relationships/hyperlink" Id="rId527" Target="https://doi.org/10.1016/j.rse.2010.12.008" TargetMode="External" /><Relationship Type="http://schemas.openxmlformats.org/officeDocument/2006/relationships/hyperlink" Id="rId632" Target="https://doi.org/10.1016/j.rse.2015.01.027" TargetMode="External" /><Relationship Type="http://schemas.openxmlformats.org/officeDocument/2006/relationships/hyperlink" Id="rId699" Target="https://doi.org/10.1016/j.rse.2015.05.023" TargetMode="External" /><Relationship Type="http://schemas.openxmlformats.org/officeDocument/2006/relationships/hyperlink" Id="rId710" Target="https://doi.org/10.1016/j.rse.2017.01.037" TargetMode="External" /><Relationship Type="http://schemas.openxmlformats.org/officeDocument/2006/relationships/hyperlink" Id="rId614" Target="https://doi.org/10.1016/j.rse.2023.113554" TargetMode="External" /><Relationship Type="http://schemas.openxmlformats.org/officeDocument/2006/relationships/hyperlink" Id="rId619" Target="https://doi.org/10.1016/j.rse.2024.114340" TargetMode="External" /><Relationship Type="http://schemas.openxmlformats.org/officeDocument/2006/relationships/hyperlink" Id="rId540" Target="https://doi.org/10.1016/j.seares.2014.02.014" TargetMode="External" /><Relationship Type="http://schemas.openxmlformats.org/officeDocument/2006/relationships/hyperlink" Id="rId810" Target="https://doi.org/10.1017/s0031182002001476" TargetMode="External" /><Relationship Type="http://schemas.openxmlformats.org/officeDocument/2006/relationships/hyperlink" Id="rId819" Target="https://doi.org/10.1038/s41586-018-0805-8" TargetMode="External" /><Relationship Type="http://schemas.openxmlformats.org/officeDocument/2006/relationships/hyperlink" Id="rId806" Target="https://doi.org/10.1038/s41598-021-83597-z" TargetMode="External" /><Relationship Type="http://schemas.openxmlformats.org/officeDocument/2006/relationships/hyperlink" Id="rId617" Target="https://doi.org/10.1038/s43247-024-01543-z" TargetMode="External" /><Relationship Type="http://schemas.openxmlformats.org/officeDocument/2006/relationships/hyperlink" Id="rId742" Target="https://doi.org/10.1063/1.44433" TargetMode="External" /><Relationship Type="http://schemas.openxmlformats.org/officeDocument/2006/relationships/hyperlink" Id="rId799" Target="https://doi.org/10.1080/17445647.2021.1925170" TargetMode="External" /><Relationship Type="http://schemas.openxmlformats.org/officeDocument/2006/relationships/hyperlink" Id="rId803" Target="https://doi.org/10.1111/GCB.14108" TargetMode="External" /><Relationship Type="http://schemas.openxmlformats.org/officeDocument/2006/relationships/hyperlink" Id="rId973" Target="https://doi.org/10.1127/0340-269X/2003/0033-0187" TargetMode="External" /><Relationship Type="http://schemas.openxmlformats.org/officeDocument/2006/relationships/hyperlink" Id="rId935" Target="https://doi.org/10.1152/physiol.00040.2018" TargetMode="External" /><Relationship Type="http://schemas.openxmlformats.org/officeDocument/2006/relationships/hyperlink" Id="rId996" Target="https://doi.org/10.1155/2017/1353691" TargetMode="External" /><Relationship Type="http://schemas.openxmlformats.org/officeDocument/2006/relationships/hyperlink" Id="rId728" Target="https://doi.org/10.1177/0309133309339563" TargetMode="External" /><Relationship Type="http://schemas.openxmlformats.org/officeDocument/2006/relationships/hyperlink" Id="rId621" Target="https://doi.org/10.15468/n4ak6x" TargetMode="External" /><Relationship Type="http://schemas.openxmlformats.org/officeDocument/2006/relationships/hyperlink" Id="rId967" Target="https://doi.org/10.1641/0006-3568(2004)054[0523:UISTSE]2.0.CO;2" TargetMode="External" /><Relationship Type="http://schemas.openxmlformats.org/officeDocument/2006/relationships/hyperlink" Id="rId571" Target="https://doi.org/10.18637/jss.v076.i01" TargetMode="External" /><Relationship Type="http://schemas.openxmlformats.org/officeDocument/2006/relationships/hyperlink" Id="rId993" Target="https://doi.org/10.18637/jss.v077.i01" TargetMode="External" /><Relationship Type="http://schemas.openxmlformats.org/officeDocument/2006/relationships/hyperlink" Id="rId561" Target="https://doi.org/10.18637/jss.v080.i01" TargetMode="External" /><Relationship Type="http://schemas.openxmlformats.org/officeDocument/2006/relationships/hyperlink" Id="rId557" Target="https://doi.org/10.18637/jss.v100.i05" TargetMode="External" /><Relationship Type="http://schemas.openxmlformats.org/officeDocument/2006/relationships/hyperlink" Id="rId907" Target="https://doi.org/10.21105/joss.00821" TargetMode="External" /><Relationship Type="http://schemas.openxmlformats.org/officeDocument/2006/relationships/hyperlink" Id="rId925" Target="https://doi.org/10.2307/2657019" TargetMode="External" /><Relationship Type="http://schemas.openxmlformats.org/officeDocument/2006/relationships/hyperlink" Id="rId657" Target="https://doi.org/10.2785/7794" TargetMode="External" /><Relationship Type="http://schemas.openxmlformats.org/officeDocument/2006/relationships/hyperlink" Id="rId559" Target="https://doi.org/10.32614/RJ-2018-017" TargetMode="External" /><Relationship Type="http://schemas.openxmlformats.org/officeDocument/2006/relationships/hyperlink" Id="rId684" Target="https://doi.org/10.32614/RJ-2020-013" TargetMode="External" /><Relationship Type="http://schemas.openxmlformats.org/officeDocument/2006/relationships/hyperlink" Id="rId905" Target="https://doi.org/10.3389/fevo.2021.767548" TargetMode="External" /><Relationship Type="http://schemas.openxmlformats.org/officeDocument/2006/relationships/hyperlink" Id="rId553" Target="https://doi.org/10.3390/RS14020307" TargetMode="External" /><Relationship Type="http://schemas.openxmlformats.org/officeDocument/2006/relationships/hyperlink" Id="rId696" Target="https://doi.org/10.3390/app8122688" TargetMode="External" /><Relationship Type="http://schemas.openxmlformats.org/officeDocument/2006/relationships/hyperlink" Id="rId1001" Target="https://doi.org/10.3390/d14121077" TargetMode="External" /><Relationship Type="http://schemas.openxmlformats.org/officeDocument/2006/relationships/hyperlink" Id="rId783" Target="https://doi.org/10.3390/d15020161" TargetMode="External" /><Relationship Type="http://schemas.openxmlformats.org/officeDocument/2006/relationships/hyperlink" Id="rId787" Target="https://doi.org/10.3390/rs11060704" TargetMode="External" /><Relationship Type="http://schemas.openxmlformats.org/officeDocument/2006/relationships/hyperlink" Id="rId637" Target="https://doi.org/10.3390/rs14020346" TargetMode="External" /><Relationship Type="http://schemas.openxmlformats.org/officeDocument/2006/relationships/hyperlink" Id="rId635" Target="https://doi.org/10.3390/rs14133124" TargetMode="External" /><Relationship Type="http://schemas.openxmlformats.org/officeDocument/2006/relationships/hyperlink" Id="rId838" Target="https://doi.org/10.3390/rs16234383" TargetMode="External" /><Relationship Type="http://schemas.openxmlformats.org/officeDocument/2006/relationships/hyperlink" Id="rId595" Target="https://doi.org/10.48670/moi-00311" TargetMode="External" /><Relationship Type="http://schemas.openxmlformats.org/officeDocument/2006/relationships/hyperlink" Id="rId849" Target="https://doi.org/10.5281/zenodo.3463051" TargetMode="External" /><Relationship Type="http://schemas.openxmlformats.org/officeDocument/2006/relationships/hyperlink" Id="rId593" Target="https://doi.org/10.59327/IPCC/AR6-9789291691647.001" TargetMode="External" /><Relationship Type="http://schemas.openxmlformats.org/officeDocument/2006/relationships/hyperlink" Id="rId649"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50" Target="https://ipbes.net/global-assessment%0Ahttps://ipbes.net/global-assessment-report-biodiversity-ecosystem-services" TargetMode="External" /><Relationship Type="http://schemas.openxmlformats.org/officeDocument/2006/relationships/hyperlink" Id="rId851" Target="https://marinespecies.org/aphia.php?p = sourcedetails&amp;id = 303450" TargetMode="External" /><Relationship Type="http://schemas.openxmlformats.org/officeDocument/2006/relationships/hyperlink" Id="rId959" Target="https://maritime-union.org/how-much-trade-is-maritime" TargetMode="External" /><Relationship Type="http://schemas.openxmlformats.org/officeDocument/2006/relationships/hyperlink" Id="rId835"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17" Target="https://services.data.shom.fr/geonetwork/srv/fre/catalog.search#/metadata/BATHYMETRIE_LITTO3D_BZH_2018_2021.xml" TargetMode="External" /><Relationship Type="http://schemas.openxmlformats.org/officeDocument/2006/relationships/hyperlink" Id="rId865" Target="https://www.R-project.org/" TargetMode="External" /><Relationship Type="http://schemas.openxmlformats.org/officeDocument/2006/relationships/hyperlink" Id="rId506" Target="https://www.agisoft.com/" TargetMode="External" /><Relationship Type="http://schemas.openxmlformats.org/officeDocument/2006/relationships/hyperlink" Id="rId28" Target="https://www.dlr.de/en" TargetMode="External" /><Relationship Type="http://schemas.openxmlformats.org/officeDocument/2006/relationships/hyperlink" Id="rId713" Target="https://www.ign.fr" TargetMode="External" /><Relationship Type="http://schemas.openxmlformats.org/officeDocument/2006/relationships/hyperlink" Id="rId659" Target="https://www.imo.org" TargetMode="External" /><Relationship Type="http://schemas.openxmlformats.org/officeDocument/2006/relationships/hyperlink" Id="rId717" Target="https://www.ioc-sealevelmonitoring.org/station.php?code = lecy" TargetMode="External" /><Relationship Type="http://schemas.openxmlformats.org/officeDocument/2006/relationships/hyperlink" Id="rId720" Target="https://www.itopf.org/knowledge-resources/data-statistics/statistics/" TargetMode="External" /><Relationship Type="http://schemas.openxmlformats.org/officeDocument/2006/relationships/hyperlink" Id="rId774" Target="https://www.malvernpanalytical.com/en/support/product-support/software/rs3" TargetMode="External" /><Relationship Type="http://schemas.openxmlformats.org/officeDocument/2006/relationships/hyperlink" Id="rId878" Target="https://www.reuters.com/business/environment/aquafarming-becomes-main-global-source-fish-un-food-agency-says-2024-06-07/" TargetMode="External" /><Relationship Type="http://schemas.openxmlformats.org/officeDocument/2006/relationships/hyperlink" Id="rId74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2025-06-15T15:43:20Z</dcterms:created>
  <dcterms:modified xsi:type="dcterms:W3CDTF">2025-06-15T15:43:20Z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